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30A" w:rsidRDefault="00082197">
      <w:pPr>
        <w:widowControl w:val="0"/>
        <w:spacing w:after="120" w:line="276" w:lineRule="auto"/>
      </w:pPr>
      <w:r>
        <w:rPr>
          <w:rFonts w:ascii="Arial" w:eastAsia="Arial" w:hAnsi="Arial" w:cs="Arial"/>
          <w:b/>
          <w:sz w:val="20"/>
          <w:szCs w:val="20"/>
        </w:rPr>
        <w:t xml:space="preserve">PSEA </w:t>
      </w:r>
      <w:r w:rsidR="003E146F">
        <w:rPr>
          <w:rFonts w:ascii="Arial" w:eastAsia="Arial" w:hAnsi="Arial" w:cs="Arial"/>
          <w:b/>
          <w:sz w:val="20"/>
          <w:szCs w:val="20"/>
        </w:rPr>
        <w:t>SELF-</w:t>
      </w:r>
      <w:r>
        <w:rPr>
          <w:rFonts w:ascii="Arial" w:eastAsia="Arial" w:hAnsi="Arial" w:cs="Arial"/>
          <w:b/>
          <w:sz w:val="20"/>
          <w:szCs w:val="20"/>
        </w:rPr>
        <w:t>ASSESSMENT</w:t>
      </w:r>
      <w:r w:rsidR="003E146F">
        <w:rPr>
          <w:rFonts w:ascii="Arial" w:eastAsia="Arial" w:hAnsi="Arial" w:cs="Arial"/>
          <w:b/>
          <w:sz w:val="20"/>
          <w:szCs w:val="20"/>
        </w:rPr>
        <w:t xml:space="preserve"> </w:t>
      </w:r>
      <w:r>
        <w:rPr>
          <w:b/>
          <w:sz w:val="20"/>
          <w:szCs w:val="20"/>
        </w:rPr>
        <w:t xml:space="preserve">FOR </w:t>
      </w:r>
      <w:r w:rsidR="00D51687">
        <w:rPr>
          <w:b/>
          <w:sz w:val="20"/>
          <w:szCs w:val="20"/>
        </w:rPr>
        <w:t>SAWM India</w:t>
      </w:r>
    </w:p>
    <w:tbl>
      <w:tblPr>
        <w:tblStyle w:val="a"/>
        <w:tblW w:w="1035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6A0"/>
      </w:tblPr>
      <w:tblGrid>
        <w:gridCol w:w="5762"/>
        <w:gridCol w:w="721"/>
        <w:gridCol w:w="720"/>
        <w:gridCol w:w="720"/>
        <w:gridCol w:w="2428"/>
      </w:tblGrid>
      <w:tr w:rsidR="00E3130A" w:rsidTr="00E3130A">
        <w:trPr>
          <w:cnfStyle w:val="100000000000"/>
          <w:trHeight w:val="438"/>
        </w:trPr>
        <w:tc>
          <w:tcPr>
            <w:cnfStyle w:val="001000000000"/>
            <w:tcW w:w="5762"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rPr>
                <w:color w:val="000000"/>
                <w:sz w:val="20"/>
                <w:szCs w:val="20"/>
              </w:rPr>
            </w:pPr>
            <w:r>
              <w:rPr>
                <w:color w:val="000000"/>
                <w:sz w:val="20"/>
                <w:szCs w:val="20"/>
              </w:rPr>
              <w:t>Core Standard</w:t>
            </w:r>
          </w:p>
        </w:tc>
        <w:tc>
          <w:tcPr>
            <w:tcW w:w="721" w:type="dxa"/>
            <w:tcBorders>
              <w:top w:val="single" w:sz="4" w:space="0" w:color="000000"/>
              <w:left w:val="single" w:sz="4" w:space="0" w:color="000000"/>
              <w:bottom w:val="single" w:sz="4" w:space="0" w:color="000000"/>
              <w:right w:val="single" w:sz="4" w:space="0" w:color="000000"/>
            </w:tcBorders>
            <w:shd w:val="clear" w:color="auto" w:fill="C00000"/>
          </w:tcPr>
          <w:p w:rsidR="00E3130A" w:rsidRDefault="00082197">
            <w:pPr>
              <w:widowControl w:val="0"/>
              <w:spacing w:after="120" w:line="276" w:lineRule="auto"/>
              <w:jc w:val="center"/>
              <w:cnfStyle w:val="100000000000"/>
              <w:rPr>
                <w:color w:val="000000"/>
                <w:sz w:val="20"/>
                <w:szCs w:val="20"/>
              </w:rPr>
            </w:pPr>
            <w:r>
              <w:rPr>
                <w:color w:val="000000"/>
                <w:sz w:val="20"/>
                <w:szCs w:val="20"/>
              </w:rPr>
              <w:t>1</w:t>
            </w:r>
          </w:p>
        </w:tc>
        <w:tc>
          <w:tcPr>
            <w:tcW w:w="720" w:type="dxa"/>
            <w:tcBorders>
              <w:top w:val="single" w:sz="4" w:space="0" w:color="000000"/>
              <w:left w:val="single" w:sz="4" w:space="0" w:color="000000"/>
              <w:bottom w:val="single" w:sz="4" w:space="0" w:color="000000"/>
              <w:right w:val="single" w:sz="4" w:space="0" w:color="000000"/>
            </w:tcBorders>
            <w:shd w:val="clear" w:color="auto" w:fill="FFC000"/>
          </w:tcPr>
          <w:p w:rsidR="00E3130A" w:rsidRDefault="00082197">
            <w:pPr>
              <w:widowControl w:val="0"/>
              <w:spacing w:after="120" w:line="276" w:lineRule="auto"/>
              <w:jc w:val="center"/>
              <w:cnfStyle w:val="100000000000"/>
              <w:rPr>
                <w:color w:val="000000"/>
                <w:sz w:val="20"/>
                <w:szCs w:val="20"/>
              </w:rPr>
            </w:pPr>
            <w:r>
              <w:rPr>
                <w:color w:val="000000"/>
                <w:sz w:val="20"/>
                <w:szCs w:val="20"/>
              </w:rPr>
              <w:t>2</w:t>
            </w:r>
          </w:p>
        </w:tc>
        <w:tc>
          <w:tcPr>
            <w:tcW w:w="720" w:type="dxa"/>
            <w:tcBorders>
              <w:top w:val="single" w:sz="4" w:space="0" w:color="000000"/>
              <w:left w:val="single" w:sz="4" w:space="0" w:color="000000"/>
              <w:bottom w:val="single" w:sz="4" w:space="0" w:color="000000"/>
              <w:right w:val="single" w:sz="4" w:space="0" w:color="000000"/>
            </w:tcBorders>
            <w:shd w:val="clear" w:color="auto" w:fill="70AD47"/>
          </w:tcPr>
          <w:p w:rsidR="00E3130A" w:rsidRDefault="00082197">
            <w:pPr>
              <w:widowControl w:val="0"/>
              <w:spacing w:after="120" w:line="276" w:lineRule="auto"/>
              <w:jc w:val="center"/>
              <w:cnfStyle w:val="100000000000"/>
              <w:rPr>
                <w:color w:val="000000"/>
                <w:sz w:val="20"/>
                <w:szCs w:val="20"/>
              </w:rPr>
            </w:pPr>
            <w:r>
              <w:rPr>
                <w:color w:val="000000"/>
                <w:sz w:val="20"/>
                <w:szCs w:val="20"/>
              </w:rPr>
              <w:t>3</w:t>
            </w:r>
          </w:p>
        </w:tc>
        <w:tc>
          <w:tcPr>
            <w:tcW w:w="2428"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jc w:val="center"/>
              <w:cnfStyle w:val="100000000000"/>
              <w:rPr>
                <w:color w:val="000000"/>
                <w:sz w:val="20"/>
                <w:szCs w:val="20"/>
              </w:rPr>
            </w:pPr>
            <w:r>
              <w:rPr>
                <w:color w:val="000000"/>
                <w:sz w:val="20"/>
                <w:szCs w:val="20"/>
              </w:rPr>
              <w:t>Proof of evidence</w:t>
            </w:r>
          </w:p>
        </w:tc>
      </w:tr>
      <w:tr w:rsidR="00E3130A" w:rsidTr="00E3130A">
        <w:trPr>
          <w:trHeight w:val="303"/>
        </w:trPr>
        <w:tc>
          <w:tcPr>
            <w:cnfStyle w:val="001000000000"/>
            <w:tcW w:w="5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pBdr>
                <w:top w:val="nil"/>
                <w:left w:val="nil"/>
                <w:bottom w:val="nil"/>
                <w:right w:val="nil"/>
                <w:between w:val="nil"/>
              </w:pBdr>
              <w:spacing w:after="120" w:line="276" w:lineRule="auto"/>
              <w:ind w:left="0" w:firstLine="0"/>
              <w:rPr>
                <w:rFonts w:ascii="Calibri" w:eastAsia="Calibri" w:hAnsi="Calibri" w:cs="Calibri"/>
                <w:color w:val="000000"/>
                <w:sz w:val="20"/>
                <w:szCs w:val="20"/>
              </w:rPr>
            </w:pPr>
            <w:r>
              <w:rPr>
                <w:rFonts w:ascii="Calibri" w:eastAsia="Calibri" w:hAnsi="Calibri" w:cs="Calibri"/>
                <w:b w:val="0"/>
                <w:color w:val="000000"/>
                <w:sz w:val="20"/>
                <w:szCs w:val="20"/>
              </w:rPr>
              <w:t>Core Standard 1: Organizational Policy</w:t>
            </w:r>
          </w:p>
          <w:p w:rsidR="00E3130A" w:rsidRDefault="00082197">
            <w:pPr>
              <w:spacing w:after="120"/>
              <w:rPr>
                <w:sz w:val="20"/>
                <w:szCs w:val="20"/>
              </w:rPr>
            </w:pPr>
            <w:r>
              <w:rPr>
                <w:b w:val="0"/>
                <w:sz w:val="20"/>
                <w:szCs w:val="20"/>
              </w:rPr>
              <w:t xml:space="preserve">Refer: </w:t>
            </w:r>
            <w:hyperlink r:id="rId7">
              <w:r>
                <w:rPr>
                  <w:b w:val="0"/>
                  <w:color w:val="0000FF"/>
                  <w:sz w:val="20"/>
                  <w:szCs w:val="20"/>
                  <w:u w:val="single"/>
                </w:rPr>
                <w:t>PSEA Toolkit</w:t>
              </w:r>
            </w:hyperlink>
            <w:r>
              <w:rPr>
                <w:b w:val="0"/>
                <w:color w:val="000000"/>
                <w:sz w:val="20"/>
                <w:szCs w:val="20"/>
              </w:rPr>
              <w:t>Section 4.2.1. Policies</w:t>
            </w:r>
          </w:p>
          <w:p w:rsidR="00E3130A" w:rsidRDefault="00082197">
            <w:pPr>
              <w:spacing w:after="120"/>
              <w:rPr>
                <w:sz w:val="20"/>
                <w:szCs w:val="20"/>
              </w:rPr>
            </w:pPr>
            <w:r>
              <w:rPr>
                <w:b w:val="0"/>
                <w:sz w:val="20"/>
                <w:szCs w:val="20"/>
                <w:u w:val="single"/>
              </w:rPr>
              <w:t>Required 1:</w:t>
            </w:r>
            <w:r>
              <w:rPr>
                <w:b w:val="0"/>
                <w:sz w:val="20"/>
                <w:szCs w:val="20"/>
              </w:rPr>
              <w:t xml:space="preserve"> An organizational policy on PSEA exists and describes appropriate standards of conduct, other preventive measures, reporting, monitoring, investigation and corrective measures.</w:t>
            </w:r>
          </w:p>
          <w:p w:rsidR="00E3130A" w:rsidRDefault="00E3130A">
            <w:pPr>
              <w:spacing w:after="120"/>
              <w:rPr>
                <w:sz w:val="20"/>
                <w:szCs w:val="20"/>
              </w:rPr>
            </w:pPr>
          </w:p>
          <w:p w:rsidR="00E3130A" w:rsidRDefault="00E3130A">
            <w:pPr>
              <w:spacing w:after="120"/>
              <w:rPr>
                <w:sz w:val="22"/>
                <w:szCs w:val="22"/>
              </w:rPr>
            </w:pPr>
          </w:p>
          <w:p w:rsidR="00E3130A" w:rsidRDefault="00082197">
            <w:pPr>
              <w:widowControl w:val="0"/>
              <w:pBdr>
                <w:top w:val="nil"/>
                <w:left w:val="nil"/>
                <w:bottom w:val="nil"/>
                <w:right w:val="nil"/>
                <w:between w:val="nil"/>
              </w:pBdr>
              <w:spacing w:after="120"/>
              <w:ind w:left="0" w:firstLine="0"/>
              <w:rPr>
                <w:rFonts w:ascii="Calibri" w:eastAsia="Calibri" w:hAnsi="Calibri" w:cs="Calibri"/>
                <w:color w:val="000000"/>
                <w:sz w:val="20"/>
                <w:szCs w:val="20"/>
              </w:rPr>
            </w:pPr>
            <w:r>
              <w:rPr>
                <w:rFonts w:ascii="Calibri" w:eastAsia="Calibri" w:hAnsi="Calibri" w:cs="Calibri"/>
                <w:b w:val="0"/>
                <w:color w:val="000000"/>
                <w:sz w:val="22"/>
                <w:szCs w:val="22"/>
              </w:rPr>
              <w:t>(UN IP Protocol para 15 &amp; Annex A.4)</w:t>
            </w:r>
          </w:p>
        </w:tc>
        <w:tc>
          <w:tcPr>
            <w:tcW w:w="721"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p>
        </w:tc>
        <w:tc>
          <w:tcPr>
            <w:tcW w:w="720"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p>
        </w:tc>
        <w:tc>
          <w:tcPr>
            <w:tcW w:w="720"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000000000000"/>
              <w:rPr>
                <w:sz w:val="20"/>
                <w:szCs w:val="20"/>
              </w:rPr>
            </w:pPr>
            <w:r>
              <w:rPr>
                <w:sz w:val="20"/>
                <w:szCs w:val="20"/>
              </w:rPr>
              <w:t>⌧</w:t>
            </w:r>
            <w:r w:rsidR="002E0344">
              <w:rPr>
                <w:sz w:val="20"/>
                <w:szCs w:val="20"/>
              </w:rPr>
              <w:t>x</w:t>
            </w:r>
          </w:p>
        </w:tc>
        <w:tc>
          <w:tcPr>
            <w:tcW w:w="24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numPr>
                <w:ilvl w:val="0"/>
                <w:numId w:val="7"/>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Code of conduct</w:t>
            </w:r>
            <w:r w:rsidR="002E0344">
              <w:rPr>
                <w:rFonts w:ascii="Calibri" w:eastAsia="Calibri" w:hAnsi="Calibri" w:cs="Calibri"/>
                <w:color w:val="000000"/>
                <w:sz w:val="20"/>
                <w:szCs w:val="20"/>
              </w:rPr>
              <w:t>:Yes</w:t>
            </w:r>
          </w:p>
          <w:p w:rsidR="00E3130A" w:rsidRDefault="00082197">
            <w:pPr>
              <w:widowControl w:val="0"/>
              <w:numPr>
                <w:ilvl w:val="0"/>
                <w:numId w:val="2"/>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PSEA policy</w:t>
            </w:r>
            <w:r w:rsidR="002E0344">
              <w:rPr>
                <w:rFonts w:ascii="Calibri" w:eastAsia="Calibri" w:hAnsi="Calibri" w:cs="Calibri"/>
                <w:color w:val="000000"/>
                <w:sz w:val="20"/>
                <w:szCs w:val="20"/>
              </w:rPr>
              <w:t>: yes</w:t>
            </w:r>
          </w:p>
          <w:p w:rsidR="00E3130A" w:rsidRDefault="00082197">
            <w:pPr>
              <w:widowControl w:val="0"/>
              <w:numPr>
                <w:ilvl w:val="0"/>
                <w:numId w:val="2"/>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Documentation of standard procedures for all personnel to receive/sign PSEA policy</w:t>
            </w:r>
            <w:r w:rsidR="002E0344">
              <w:rPr>
                <w:rFonts w:ascii="Calibri" w:eastAsia="Calibri" w:hAnsi="Calibri" w:cs="Calibri"/>
                <w:color w:val="000000"/>
                <w:sz w:val="20"/>
                <w:szCs w:val="20"/>
              </w:rPr>
              <w:t>: Yes</w:t>
            </w:r>
          </w:p>
          <w:p w:rsidR="00E3130A" w:rsidRDefault="00082197">
            <w:pPr>
              <w:widowControl w:val="0"/>
              <w:numPr>
                <w:ilvl w:val="0"/>
                <w:numId w:val="2"/>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Other (please specify):</w:t>
            </w:r>
          </w:p>
          <w:p w:rsidR="00E3130A" w:rsidRDefault="00082197">
            <w:pPr>
              <w:pBdr>
                <w:top w:val="nil"/>
                <w:left w:val="nil"/>
                <w:bottom w:val="nil"/>
                <w:right w:val="nil"/>
                <w:between w:val="nil"/>
              </w:pBdr>
              <w:spacing w:before="280" w:after="120"/>
              <w:ind w:left="0" w:firstLine="0"/>
              <w:cnfStyle w:val="000000000000"/>
              <w:rPr>
                <w:rFonts w:ascii="Calibri" w:eastAsia="Calibri" w:hAnsi="Calibri" w:cs="Calibri"/>
                <w:color w:val="000000"/>
                <w:sz w:val="20"/>
                <w:szCs w:val="20"/>
              </w:rPr>
            </w:pPr>
            <w:r>
              <w:rPr>
                <w:rFonts w:ascii="Calibri" w:eastAsia="Calibri" w:hAnsi="Calibri" w:cs="Calibri"/>
                <w:color w:val="000000"/>
                <w:sz w:val="20"/>
                <w:szCs w:val="20"/>
              </w:rPr>
              <w:t>_________________</w:t>
            </w:r>
          </w:p>
          <w:p w:rsidR="00E3130A" w:rsidRDefault="00E3130A">
            <w:pPr>
              <w:widowControl w:val="0"/>
              <w:spacing w:after="120" w:line="276" w:lineRule="auto"/>
              <w:cnfStyle w:val="000000000000"/>
              <w:rPr>
                <w:sz w:val="20"/>
                <w:szCs w:val="20"/>
              </w:rPr>
            </w:pPr>
          </w:p>
        </w:tc>
      </w:tr>
      <w:tr w:rsidR="00E3130A" w:rsidTr="00E3130A">
        <w:trPr>
          <w:trHeight w:val="321"/>
        </w:trPr>
        <w:tc>
          <w:tcPr>
            <w:cnfStyle w:val="001000000000"/>
            <w:tcW w:w="5762" w:type="dxa"/>
            <w:vMerge/>
            <w:tcBorders>
              <w:top w:val="single" w:sz="4" w:space="0" w:color="000000"/>
              <w:left w:val="single" w:sz="4" w:space="0" w:color="000000"/>
              <w:bottom w:val="single" w:sz="4" w:space="0" w:color="000000"/>
              <w:right w:val="single" w:sz="4" w:space="0" w:color="000000"/>
            </w:tcBorders>
            <w:shd w:val="clear" w:color="auto" w:fill="auto"/>
          </w:tcPr>
          <w:p w:rsidR="00E3130A" w:rsidRDefault="00E3130A">
            <w:pPr>
              <w:widowControl w:val="0"/>
              <w:pBdr>
                <w:top w:val="nil"/>
                <w:left w:val="nil"/>
                <w:bottom w:val="nil"/>
                <w:right w:val="nil"/>
                <w:between w:val="nil"/>
              </w:pBdr>
              <w:spacing w:line="276" w:lineRule="auto"/>
              <w:ind w:left="0" w:firstLine="0"/>
              <w:rPr>
                <w:sz w:val="20"/>
                <w:szCs w:val="20"/>
              </w:rPr>
            </w:pPr>
          </w:p>
        </w:tc>
        <w:tc>
          <w:tcPr>
            <w:tcW w:w="2161" w:type="dxa"/>
            <w:gridSpan w:val="3"/>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spacing w:after="120" w:line="276" w:lineRule="auto"/>
              <w:cnfStyle w:val="000000000000"/>
              <w:rPr>
                <w:sz w:val="20"/>
                <w:szCs w:val="20"/>
              </w:rPr>
            </w:pPr>
            <w:r>
              <w:rPr>
                <w:sz w:val="20"/>
                <w:szCs w:val="20"/>
              </w:rPr>
              <w:t>Comments: Code of conduct incorporates organizational policy on PSEA.</w:t>
            </w:r>
          </w:p>
        </w:tc>
        <w:tc>
          <w:tcPr>
            <w:tcW w:w="2428" w:type="dxa"/>
            <w:vMerge/>
            <w:tcBorders>
              <w:top w:val="single" w:sz="4" w:space="0" w:color="000000"/>
              <w:left w:val="single" w:sz="4" w:space="0" w:color="000000"/>
              <w:bottom w:val="single" w:sz="4" w:space="0" w:color="000000"/>
              <w:right w:val="single" w:sz="4" w:space="0" w:color="000000"/>
            </w:tcBorders>
            <w:shd w:val="clear" w:color="auto" w:fill="auto"/>
          </w:tcPr>
          <w:p w:rsidR="00E3130A" w:rsidRDefault="00E3130A">
            <w:pPr>
              <w:widowControl w:val="0"/>
              <w:pBdr>
                <w:top w:val="nil"/>
                <w:left w:val="nil"/>
                <w:bottom w:val="nil"/>
                <w:right w:val="nil"/>
                <w:between w:val="nil"/>
              </w:pBdr>
              <w:spacing w:line="276" w:lineRule="auto"/>
              <w:ind w:left="0" w:firstLine="0"/>
              <w:cnfStyle w:val="000000000000"/>
              <w:rPr>
                <w:sz w:val="20"/>
                <w:szCs w:val="20"/>
              </w:rPr>
            </w:pPr>
          </w:p>
        </w:tc>
      </w:tr>
    </w:tbl>
    <w:p w:rsidR="00E3130A" w:rsidRDefault="00E3130A">
      <w:pPr>
        <w:spacing w:after="0" w:line="240" w:lineRule="auto"/>
        <w:rPr>
          <w:sz w:val="20"/>
          <w:szCs w:val="20"/>
        </w:rPr>
      </w:pPr>
    </w:p>
    <w:p w:rsidR="00E3130A" w:rsidRDefault="00E3130A">
      <w:pPr>
        <w:spacing w:after="0" w:line="240" w:lineRule="auto"/>
        <w:rPr>
          <w:sz w:val="20"/>
          <w:szCs w:val="20"/>
        </w:rPr>
      </w:pPr>
    </w:p>
    <w:tbl>
      <w:tblPr>
        <w:tblStyle w:val="a0"/>
        <w:tblW w:w="1035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6A0"/>
      </w:tblPr>
      <w:tblGrid>
        <w:gridCol w:w="5762"/>
        <w:gridCol w:w="690"/>
        <w:gridCol w:w="689"/>
        <w:gridCol w:w="691"/>
        <w:gridCol w:w="2519"/>
      </w:tblGrid>
      <w:tr w:rsidR="00E3130A" w:rsidTr="00E3130A">
        <w:trPr>
          <w:cnfStyle w:val="100000000000"/>
          <w:trHeight w:val="48"/>
        </w:trPr>
        <w:tc>
          <w:tcPr>
            <w:cnfStyle w:val="001000000000"/>
            <w:tcW w:w="5762"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ind w:left="255" w:firstLine="0"/>
              <w:rPr>
                <w:color w:val="000000"/>
                <w:sz w:val="20"/>
                <w:szCs w:val="20"/>
              </w:rPr>
            </w:pPr>
            <w:r>
              <w:rPr>
                <w:color w:val="000000"/>
                <w:sz w:val="20"/>
                <w:szCs w:val="20"/>
              </w:rPr>
              <w:t>Core Standard</w:t>
            </w:r>
          </w:p>
        </w:tc>
        <w:tc>
          <w:tcPr>
            <w:tcW w:w="690"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100000000000"/>
              <w:rPr>
                <w:color w:val="000000"/>
                <w:sz w:val="20"/>
                <w:szCs w:val="20"/>
              </w:rPr>
            </w:pPr>
            <w:r>
              <w:rPr>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100000000000"/>
              <w:rPr>
                <w:color w:val="000000"/>
                <w:sz w:val="20"/>
                <w:szCs w:val="20"/>
              </w:rPr>
            </w:pPr>
            <w:r>
              <w:rPr>
                <w:color w:val="000000"/>
                <w:sz w:val="20"/>
                <w:szCs w:val="20"/>
              </w:rPr>
              <w:t>2</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100000000000"/>
              <w:rPr>
                <w:color w:val="000000"/>
                <w:sz w:val="20"/>
                <w:szCs w:val="20"/>
              </w:rPr>
            </w:pPr>
            <w:r>
              <w:rPr>
                <w:color w:val="000000"/>
                <w:sz w:val="20"/>
                <w:szCs w:val="20"/>
              </w:rPr>
              <w:t>3</w:t>
            </w:r>
          </w:p>
        </w:tc>
        <w:tc>
          <w:tcPr>
            <w:tcW w:w="2519"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jc w:val="center"/>
              <w:cnfStyle w:val="100000000000"/>
              <w:rPr>
                <w:color w:val="000000"/>
                <w:sz w:val="20"/>
                <w:szCs w:val="20"/>
              </w:rPr>
            </w:pPr>
            <w:r>
              <w:rPr>
                <w:color w:val="000000"/>
                <w:sz w:val="20"/>
                <w:szCs w:val="20"/>
              </w:rPr>
              <w:t>Proof of evidence</w:t>
            </w:r>
          </w:p>
        </w:tc>
      </w:tr>
      <w:tr w:rsidR="00E3130A" w:rsidTr="00E3130A">
        <w:trPr>
          <w:trHeight w:val="204"/>
        </w:trPr>
        <w:tc>
          <w:tcPr>
            <w:cnfStyle w:val="001000000000"/>
            <w:tcW w:w="5762" w:type="dxa"/>
            <w:vMerge w:val="restart"/>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ind w:left="-15" w:firstLine="0"/>
              <w:rPr>
                <w:sz w:val="20"/>
                <w:szCs w:val="20"/>
              </w:rPr>
            </w:pPr>
            <w:r>
              <w:rPr>
                <w:sz w:val="20"/>
                <w:szCs w:val="20"/>
              </w:rPr>
              <w:t>Core Standard 2: Organizational Management and HR Systems</w:t>
            </w:r>
          </w:p>
          <w:p w:rsidR="00E3130A" w:rsidRDefault="00082197">
            <w:pPr>
              <w:widowControl w:val="0"/>
              <w:spacing w:after="60" w:line="276" w:lineRule="auto"/>
              <w:rPr>
                <w:sz w:val="20"/>
                <w:szCs w:val="20"/>
              </w:rPr>
            </w:pPr>
            <w:r>
              <w:rPr>
                <w:b w:val="0"/>
                <w:sz w:val="20"/>
                <w:szCs w:val="20"/>
              </w:rPr>
              <w:t xml:space="preserve">Refer: </w:t>
            </w:r>
            <w:hyperlink r:id="rId8">
              <w:r>
                <w:rPr>
                  <w:b w:val="0"/>
                  <w:color w:val="0000FF"/>
                  <w:sz w:val="20"/>
                  <w:szCs w:val="20"/>
                  <w:u w:val="single"/>
                </w:rPr>
                <w:t>PSEA Toolkit</w:t>
              </w:r>
            </w:hyperlink>
            <w:r>
              <w:rPr>
                <w:b w:val="0"/>
                <w:color w:val="000000"/>
                <w:sz w:val="20"/>
                <w:szCs w:val="20"/>
              </w:rPr>
              <w:t>Section 4.2.2. Procedures</w:t>
            </w:r>
          </w:p>
          <w:p w:rsidR="00E3130A" w:rsidRDefault="00082197">
            <w:pPr>
              <w:widowControl w:val="0"/>
              <w:spacing w:after="60" w:line="276" w:lineRule="auto"/>
              <w:rPr>
                <w:sz w:val="20"/>
                <w:szCs w:val="20"/>
              </w:rPr>
            </w:pPr>
            <w:r>
              <w:rPr>
                <w:b w:val="0"/>
                <w:sz w:val="20"/>
                <w:szCs w:val="20"/>
                <w:u w:val="single"/>
              </w:rPr>
              <w:t>Required 1:</w:t>
            </w:r>
            <w:r>
              <w:rPr>
                <w:b w:val="0"/>
                <w:sz w:val="20"/>
                <w:szCs w:val="20"/>
              </w:rPr>
              <w:t xml:space="preserve"> The organization’s contracts and partnership agreements include a standard clause requiring contractors, suppliers, consultants and sub-partners to commit to a zero-tolerance policy on SEA and to take measures to prevent and respond to SEA. </w:t>
            </w:r>
          </w:p>
          <w:p w:rsidR="00E3130A" w:rsidRDefault="00082197">
            <w:pPr>
              <w:widowControl w:val="0"/>
              <w:spacing w:after="120" w:line="276" w:lineRule="auto"/>
              <w:rPr>
                <w:sz w:val="20"/>
                <w:szCs w:val="20"/>
              </w:rPr>
            </w:pPr>
            <w:r>
              <w:rPr>
                <w:b w:val="0"/>
                <w:sz w:val="20"/>
                <w:szCs w:val="20"/>
                <w:u w:val="single"/>
              </w:rPr>
              <w:t>Required 2:</w:t>
            </w:r>
            <w:r>
              <w:rPr>
                <w:b w:val="0"/>
                <w:sz w:val="20"/>
                <w:szCs w:val="20"/>
              </w:rPr>
              <w:t xml:space="preserve"> There is a systematic vetting procedure in place for job candidates (e.g. reference checks, police records, Google searches) in accordance with local laws regarding employment, privacy and data protection, including checking for prior involvement in SEA.</w:t>
            </w:r>
          </w:p>
          <w:p w:rsidR="00E3130A" w:rsidRDefault="00082197">
            <w:pPr>
              <w:widowControl w:val="0"/>
              <w:spacing w:after="120"/>
              <w:ind w:left="-14" w:firstLine="0"/>
              <w:rPr>
                <w:sz w:val="20"/>
                <w:szCs w:val="20"/>
              </w:rPr>
            </w:pPr>
            <w:r>
              <w:rPr>
                <w:b w:val="0"/>
                <w:sz w:val="22"/>
                <w:szCs w:val="22"/>
              </w:rPr>
              <w:t>(UN IP Protocol para 11; 15; &amp; Annex A.1, A.2)</w:t>
            </w:r>
          </w:p>
        </w:tc>
        <w:tc>
          <w:tcPr>
            <w:tcW w:w="690"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000000000000"/>
              <w:rPr>
                <w:b/>
                <w:sz w:val="20"/>
                <w:szCs w:val="20"/>
              </w:rPr>
            </w:pPr>
            <w:r>
              <w:rPr>
                <w:rFonts w:ascii="Noto Sans Symbols" w:eastAsia="Noto Sans Symbols" w:hAnsi="Noto Sans Symbols" w:cs="Noto Sans Symbols"/>
                <w:sz w:val="20"/>
                <w:szCs w:val="20"/>
              </w:rPr>
              <w:t>□</w:t>
            </w:r>
          </w:p>
        </w:tc>
        <w:tc>
          <w:tcPr>
            <w:tcW w:w="689"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000000000000"/>
              <w:rPr>
                <w:sz w:val="20"/>
                <w:szCs w:val="20"/>
              </w:rPr>
            </w:pPr>
            <w:r>
              <w:rPr>
                <w:sz w:val="20"/>
                <w:szCs w:val="20"/>
              </w:rPr>
              <w:t>⌧</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r w:rsidR="002E0344">
              <w:rPr>
                <w:rFonts w:ascii="Noto Sans Symbols" w:eastAsia="Noto Sans Symbols" w:hAnsi="Noto Sans Symbols" w:cs="Noto Sans Symbols"/>
                <w:sz w:val="20"/>
                <w:szCs w:val="20"/>
              </w:rPr>
              <w:t>x</w:t>
            </w:r>
          </w:p>
        </w:tc>
        <w:tc>
          <w:tcPr>
            <w:tcW w:w="2519" w:type="dxa"/>
            <w:vMerge w:val="restart"/>
            <w:tcBorders>
              <w:top w:val="single" w:sz="4" w:space="0" w:color="000000"/>
              <w:left w:val="single" w:sz="4" w:space="0" w:color="000000"/>
              <w:right w:val="single" w:sz="4" w:space="0" w:color="000000"/>
            </w:tcBorders>
            <w:shd w:val="clear" w:color="auto" w:fill="auto"/>
          </w:tcPr>
          <w:p w:rsidR="00E3130A" w:rsidRDefault="00082197">
            <w:pPr>
              <w:widowControl w:val="0"/>
              <w:numPr>
                <w:ilvl w:val="0"/>
                <w:numId w:val="8"/>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ToR (e.g. PSEA-related responsibilities)</w:t>
            </w:r>
          </w:p>
          <w:p w:rsidR="00E3130A" w:rsidRDefault="00082197">
            <w:pPr>
              <w:widowControl w:val="0"/>
              <w:numPr>
                <w:ilvl w:val="0"/>
                <w:numId w:val="3"/>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Contracts/partnership agreements</w:t>
            </w:r>
            <w:r w:rsidR="002E0344">
              <w:rPr>
                <w:rFonts w:ascii="Calibri" w:eastAsia="Calibri" w:hAnsi="Calibri" w:cs="Calibri"/>
                <w:color w:val="000000"/>
                <w:sz w:val="20"/>
                <w:szCs w:val="20"/>
              </w:rPr>
              <w:t>: Yes</w:t>
            </w:r>
          </w:p>
          <w:p w:rsidR="00E3130A" w:rsidRDefault="00082197">
            <w:pPr>
              <w:widowControl w:val="0"/>
              <w:numPr>
                <w:ilvl w:val="0"/>
                <w:numId w:val="5"/>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Recruitment procedure (e.g. reference check with questions related to SEA/child safeguarding)</w:t>
            </w:r>
            <w:r w:rsidR="002E0344">
              <w:rPr>
                <w:rFonts w:ascii="Calibri" w:eastAsia="Calibri" w:hAnsi="Calibri" w:cs="Calibri"/>
                <w:color w:val="000000"/>
                <w:sz w:val="20"/>
                <w:szCs w:val="20"/>
              </w:rPr>
              <w:t>: Yes</w:t>
            </w:r>
          </w:p>
          <w:p w:rsidR="00E3130A" w:rsidRDefault="00082197">
            <w:pPr>
              <w:widowControl w:val="0"/>
              <w:numPr>
                <w:ilvl w:val="0"/>
                <w:numId w:val="5"/>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Other (please specify):______</w:t>
            </w:r>
          </w:p>
        </w:tc>
      </w:tr>
      <w:tr w:rsidR="00E3130A" w:rsidTr="00E3130A">
        <w:trPr>
          <w:trHeight w:val="1959"/>
        </w:trPr>
        <w:tc>
          <w:tcPr>
            <w:cnfStyle w:val="001000000000"/>
            <w:tcW w:w="5762" w:type="dxa"/>
            <w:vMerge/>
            <w:tcBorders>
              <w:top w:val="single" w:sz="4" w:space="0" w:color="000000"/>
              <w:left w:val="single" w:sz="4" w:space="0" w:color="000000"/>
              <w:bottom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rPr>
                <w:rFonts w:ascii="Calibri" w:eastAsia="Calibri" w:hAnsi="Calibri" w:cs="Calibri"/>
                <w:color w:val="000000"/>
                <w:sz w:val="20"/>
                <w:szCs w:val="20"/>
              </w:rPr>
            </w:pPr>
          </w:p>
        </w:tc>
        <w:tc>
          <w:tcPr>
            <w:tcW w:w="2070" w:type="dxa"/>
            <w:gridSpan w:val="3"/>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spacing w:after="120" w:line="276" w:lineRule="auto"/>
              <w:cnfStyle w:val="000000000000"/>
              <w:rPr>
                <w:sz w:val="20"/>
                <w:szCs w:val="20"/>
              </w:rPr>
            </w:pPr>
            <w:r>
              <w:rPr>
                <w:sz w:val="20"/>
                <w:szCs w:val="20"/>
              </w:rPr>
              <w:t>Comments: Contracts/partnership agreements include a standard clause on PSEA. However, our vetting process does not include questions relating to SEA/child safeguarding yet.</w:t>
            </w:r>
          </w:p>
          <w:p w:rsidR="00E3130A" w:rsidRDefault="00E3130A">
            <w:pPr>
              <w:widowControl w:val="0"/>
              <w:spacing w:after="120" w:line="276" w:lineRule="auto"/>
              <w:cnfStyle w:val="000000000000"/>
              <w:rPr>
                <w:sz w:val="20"/>
                <w:szCs w:val="20"/>
              </w:rPr>
            </w:pPr>
          </w:p>
        </w:tc>
        <w:tc>
          <w:tcPr>
            <w:tcW w:w="2519" w:type="dxa"/>
            <w:vMerge/>
            <w:tcBorders>
              <w:top w:val="single" w:sz="4" w:space="0" w:color="000000"/>
              <w:left w:val="single" w:sz="4" w:space="0" w:color="000000"/>
              <w:right w:val="single" w:sz="4" w:space="0" w:color="000000"/>
            </w:tcBorders>
            <w:shd w:val="clear" w:color="auto" w:fill="auto"/>
          </w:tcPr>
          <w:p w:rsidR="00E3130A" w:rsidRDefault="00E3130A">
            <w:pPr>
              <w:widowControl w:val="0"/>
              <w:pBdr>
                <w:top w:val="nil"/>
                <w:left w:val="nil"/>
                <w:bottom w:val="nil"/>
                <w:right w:val="nil"/>
                <w:between w:val="nil"/>
              </w:pBdr>
              <w:spacing w:line="276" w:lineRule="auto"/>
              <w:ind w:left="0" w:firstLine="0"/>
              <w:cnfStyle w:val="000000000000"/>
              <w:rPr>
                <w:sz w:val="20"/>
                <w:szCs w:val="20"/>
              </w:rPr>
            </w:pPr>
          </w:p>
        </w:tc>
      </w:tr>
    </w:tbl>
    <w:p w:rsidR="00E3130A" w:rsidRDefault="00E3130A">
      <w:pPr>
        <w:spacing w:after="0" w:line="240" w:lineRule="auto"/>
        <w:rPr>
          <w:sz w:val="20"/>
          <w:szCs w:val="20"/>
        </w:rPr>
      </w:pPr>
    </w:p>
    <w:p w:rsidR="00E3130A" w:rsidRDefault="00082197">
      <w:pPr>
        <w:rPr>
          <w:sz w:val="20"/>
          <w:szCs w:val="20"/>
        </w:rPr>
      </w:pPr>
      <w:r>
        <w:br w:type="page"/>
      </w:r>
    </w:p>
    <w:p w:rsidR="00E3130A" w:rsidRDefault="00E3130A">
      <w:pPr>
        <w:spacing w:after="0" w:line="240" w:lineRule="auto"/>
        <w:rPr>
          <w:sz w:val="20"/>
          <w:szCs w:val="20"/>
        </w:rPr>
      </w:pPr>
    </w:p>
    <w:p w:rsidR="00E3130A" w:rsidRDefault="00E3130A">
      <w:pPr>
        <w:spacing w:after="0" w:line="240" w:lineRule="auto"/>
        <w:rPr>
          <w:sz w:val="20"/>
          <w:szCs w:val="20"/>
        </w:rPr>
      </w:pPr>
    </w:p>
    <w:tbl>
      <w:tblPr>
        <w:tblStyle w:val="a1"/>
        <w:tblW w:w="1035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6A0"/>
      </w:tblPr>
      <w:tblGrid>
        <w:gridCol w:w="5760"/>
        <w:gridCol w:w="690"/>
        <w:gridCol w:w="691"/>
        <w:gridCol w:w="691"/>
        <w:gridCol w:w="2519"/>
      </w:tblGrid>
      <w:tr w:rsidR="00E3130A" w:rsidTr="00E3130A">
        <w:trPr>
          <w:cnfStyle w:val="100000000000"/>
          <w:trHeight w:val="411"/>
        </w:trPr>
        <w:tc>
          <w:tcPr>
            <w:cnfStyle w:val="001000000000"/>
            <w:tcW w:w="5760"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rPr>
                <w:color w:val="000000"/>
                <w:sz w:val="20"/>
                <w:szCs w:val="20"/>
              </w:rPr>
            </w:pPr>
            <w:r>
              <w:rPr>
                <w:color w:val="000000"/>
                <w:sz w:val="20"/>
                <w:szCs w:val="20"/>
              </w:rPr>
              <w:t>Core Standard</w:t>
            </w:r>
          </w:p>
        </w:tc>
        <w:tc>
          <w:tcPr>
            <w:tcW w:w="690"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100000000000"/>
              <w:rPr>
                <w:color w:val="000000"/>
                <w:sz w:val="20"/>
                <w:szCs w:val="20"/>
              </w:rPr>
            </w:pPr>
            <w:r>
              <w:rPr>
                <w:color w:val="000000"/>
                <w:sz w:val="20"/>
                <w:szCs w:val="20"/>
              </w:rPr>
              <w:t>1</w:t>
            </w:r>
          </w:p>
        </w:tc>
        <w:tc>
          <w:tcPr>
            <w:tcW w:w="691"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100000000000"/>
              <w:rPr>
                <w:color w:val="000000"/>
                <w:sz w:val="20"/>
                <w:szCs w:val="20"/>
              </w:rPr>
            </w:pPr>
            <w:r>
              <w:rPr>
                <w:color w:val="000000"/>
                <w:sz w:val="20"/>
                <w:szCs w:val="20"/>
              </w:rPr>
              <w:t>2</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100000000000"/>
              <w:rPr>
                <w:color w:val="000000"/>
                <w:sz w:val="20"/>
                <w:szCs w:val="20"/>
              </w:rPr>
            </w:pPr>
            <w:r>
              <w:rPr>
                <w:color w:val="000000"/>
                <w:sz w:val="20"/>
                <w:szCs w:val="20"/>
              </w:rPr>
              <w:t>3</w:t>
            </w:r>
          </w:p>
        </w:tc>
        <w:tc>
          <w:tcPr>
            <w:tcW w:w="2519" w:type="dxa"/>
            <w:tcBorders>
              <w:top w:val="single" w:sz="4" w:space="0" w:color="000000"/>
              <w:left w:val="single" w:sz="4" w:space="0" w:color="000000"/>
              <w:bottom w:val="single" w:sz="4" w:space="0" w:color="000000"/>
              <w:right w:val="single" w:sz="4" w:space="0" w:color="000000"/>
            </w:tcBorders>
          </w:tcPr>
          <w:p w:rsidR="00E3130A" w:rsidRDefault="00082197">
            <w:pPr>
              <w:widowControl w:val="0"/>
              <w:pBdr>
                <w:top w:val="nil"/>
                <w:left w:val="nil"/>
                <w:bottom w:val="nil"/>
                <w:right w:val="nil"/>
                <w:between w:val="nil"/>
              </w:pBdr>
              <w:spacing w:after="120" w:line="276" w:lineRule="auto"/>
              <w:ind w:left="360" w:firstLine="0"/>
              <w:cnfStyle w:val="100000000000"/>
              <w:rPr>
                <w:rFonts w:ascii="Calibri" w:eastAsia="Calibri" w:hAnsi="Calibri" w:cs="Calibri"/>
                <w:color w:val="000000"/>
                <w:sz w:val="20"/>
                <w:szCs w:val="20"/>
              </w:rPr>
            </w:pPr>
            <w:r>
              <w:rPr>
                <w:rFonts w:ascii="Calibri" w:eastAsia="Calibri" w:hAnsi="Calibri" w:cs="Calibri"/>
                <w:b w:val="0"/>
                <w:color w:val="000000"/>
                <w:sz w:val="20"/>
                <w:szCs w:val="20"/>
              </w:rPr>
              <w:t>Proof of evidence</w:t>
            </w:r>
          </w:p>
        </w:tc>
      </w:tr>
      <w:tr w:rsidR="00E3130A" w:rsidTr="00E3130A">
        <w:trPr>
          <w:trHeight w:val="411"/>
        </w:trPr>
        <w:tc>
          <w:tcPr>
            <w:cnfStyle w:val="001000000000"/>
            <w:tcW w:w="5760" w:type="dxa"/>
            <w:vMerge w:val="restart"/>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rPr>
                <w:sz w:val="20"/>
                <w:szCs w:val="20"/>
              </w:rPr>
            </w:pPr>
            <w:r>
              <w:rPr>
                <w:sz w:val="20"/>
                <w:szCs w:val="20"/>
              </w:rPr>
              <w:t>Core Standard 3: Mandatory Training</w:t>
            </w:r>
          </w:p>
          <w:p w:rsidR="00E3130A" w:rsidRDefault="00082197">
            <w:pPr>
              <w:widowControl w:val="0"/>
              <w:spacing w:after="120" w:line="276" w:lineRule="auto"/>
              <w:rPr>
                <w:sz w:val="20"/>
                <w:szCs w:val="20"/>
                <w:u w:val="single"/>
              </w:rPr>
            </w:pPr>
            <w:r>
              <w:rPr>
                <w:b w:val="0"/>
                <w:sz w:val="20"/>
                <w:szCs w:val="20"/>
              </w:rPr>
              <w:t xml:space="preserve">Refer </w:t>
            </w:r>
            <w:hyperlink r:id="rId9">
              <w:r>
                <w:rPr>
                  <w:b w:val="0"/>
                  <w:color w:val="0000FF"/>
                  <w:sz w:val="20"/>
                  <w:szCs w:val="20"/>
                  <w:u w:val="single"/>
                </w:rPr>
                <w:t>PSEA Toolkit</w:t>
              </w:r>
            </w:hyperlink>
            <w:hyperlink w:anchor="_gjdgxs">
              <w:r>
                <w:rPr>
                  <w:b w:val="0"/>
                  <w:color w:val="000000"/>
                  <w:sz w:val="20"/>
                  <w:szCs w:val="20"/>
                </w:rPr>
                <w:t>Section 4.3.1. Training</w:t>
              </w:r>
            </w:hyperlink>
          </w:p>
          <w:p w:rsidR="00E3130A" w:rsidRDefault="00082197">
            <w:pPr>
              <w:widowControl w:val="0"/>
              <w:spacing w:after="120" w:line="276" w:lineRule="auto"/>
              <w:rPr>
                <w:sz w:val="20"/>
                <w:szCs w:val="20"/>
              </w:rPr>
            </w:pPr>
            <w:r>
              <w:rPr>
                <w:b w:val="0"/>
                <w:sz w:val="20"/>
                <w:szCs w:val="20"/>
                <w:u w:val="single"/>
              </w:rPr>
              <w:t>Required 1:</w:t>
            </w:r>
            <w:r>
              <w:rPr>
                <w:b w:val="0"/>
                <w:sz w:val="20"/>
                <w:szCs w:val="20"/>
              </w:rPr>
              <w:t xml:space="preserve"> The organization holds mandatory trainings for all personnel on the organization’s SEA policy and procedures and the training includes 1) a definition of SEA (that is aligned with the </w:t>
            </w:r>
            <w:hyperlink r:id="rId10">
              <w:r>
                <w:rPr>
                  <w:b w:val="0"/>
                  <w:color w:val="0000FF"/>
                  <w:sz w:val="20"/>
                  <w:szCs w:val="20"/>
                  <w:u w:val="single"/>
                </w:rPr>
                <w:t>UN's definition</w:t>
              </w:r>
            </w:hyperlink>
            <w:r>
              <w:rPr>
                <w:b w:val="0"/>
                <w:sz w:val="20"/>
                <w:szCs w:val="20"/>
              </w:rPr>
              <w:t>); 2) a prohibition of SEA; and 3) actions that personnel are required to take (i.e. prompt reporting of allegations and referral of survivors).</w:t>
            </w:r>
          </w:p>
          <w:p w:rsidR="00E3130A" w:rsidRDefault="00082197">
            <w:pPr>
              <w:widowControl w:val="0"/>
              <w:spacing w:after="120"/>
              <w:rPr>
                <w:sz w:val="20"/>
                <w:szCs w:val="20"/>
              </w:rPr>
            </w:pPr>
            <w:r>
              <w:rPr>
                <w:b w:val="0"/>
                <w:sz w:val="22"/>
                <w:szCs w:val="22"/>
              </w:rPr>
              <w:t>(UN IP Protocol para 17 &amp; Annex A.5)</w:t>
            </w:r>
          </w:p>
        </w:tc>
        <w:tc>
          <w:tcPr>
            <w:tcW w:w="690"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000000000000"/>
              <w:rPr>
                <w:b/>
                <w:sz w:val="20"/>
                <w:szCs w:val="20"/>
              </w:rPr>
            </w:pPr>
            <w:r>
              <w:rPr>
                <w:rFonts w:ascii="Noto Sans Symbols" w:eastAsia="Noto Sans Symbols" w:hAnsi="Noto Sans Symbols" w:cs="Noto Sans Symbols"/>
                <w:sz w:val="20"/>
                <w:szCs w:val="20"/>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000000000000"/>
              <w:rPr>
                <w:sz w:val="20"/>
                <w:szCs w:val="20"/>
              </w:rPr>
            </w:pPr>
            <w:r>
              <w:rPr>
                <w:sz w:val="20"/>
                <w:szCs w:val="20"/>
              </w:rPr>
              <w:t>⌧</w:t>
            </w:r>
            <w:r w:rsidR="003E146F">
              <w:rPr>
                <w:sz w:val="20"/>
                <w:szCs w:val="20"/>
              </w:rPr>
              <w:t>x</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p>
        </w:tc>
        <w:tc>
          <w:tcPr>
            <w:tcW w:w="2519" w:type="dxa"/>
            <w:vMerge w:val="restart"/>
            <w:tcBorders>
              <w:top w:val="single" w:sz="4" w:space="0" w:color="000000"/>
              <w:left w:val="single" w:sz="4" w:space="0" w:color="000000"/>
              <w:right w:val="single" w:sz="4" w:space="0" w:color="000000"/>
            </w:tcBorders>
          </w:tcPr>
          <w:p w:rsidR="00E3130A" w:rsidRDefault="00082197">
            <w:pPr>
              <w:widowControl w:val="0"/>
              <w:numPr>
                <w:ilvl w:val="0"/>
                <w:numId w:val="3"/>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Annual training plan</w:t>
            </w:r>
            <w:r w:rsidR="002E0344">
              <w:rPr>
                <w:rFonts w:ascii="Calibri" w:eastAsia="Calibri" w:hAnsi="Calibri" w:cs="Calibri"/>
                <w:color w:val="000000"/>
                <w:sz w:val="20"/>
                <w:szCs w:val="20"/>
              </w:rPr>
              <w:t>: Yes</w:t>
            </w:r>
          </w:p>
          <w:p w:rsidR="00E3130A" w:rsidRDefault="00082197">
            <w:pPr>
              <w:widowControl w:val="0"/>
              <w:numPr>
                <w:ilvl w:val="0"/>
                <w:numId w:val="3"/>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Training agenda</w:t>
            </w:r>
            <w:r w:rsidR="002E0344">
              <w:rPr>
                <w:rFonts w:ascii="Calibri" w:eastAsia="Calibri" w:hAnsi="Calibri" w:cs="Calibri"/>
                <w:color w:val="000000"/>
                <w:sz w:val="20"/>
                <w:szCs w:val="20"/>
              </w:rPr>
              <w:t>: Being developed</w:t>
            </w:r>
          </w:p>
          <w:p w:rsidR="00E3130A" w:rsidRDefault="00082197">
            <w:pPr>
              <w:widowControl w:val="0"/>
              <w:numPr>
                <w:ilvl w:val="0"/>
                <w:numId w:val="3"/>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Attendance sheets</w:t>
            </w:r>
            <w:r w:rsidR="002E0344">
              <w:rPr>
                <w:rFonts w:ascii="Calibri" w:eastAsia="Calibri" w:hAnsi="Calibri" w:cs="Calibri"/>
                <w:color w:val="000000"/>
                <w:sz w:val="20"/>
                <w:szCs w:val="20"/>
              </w:rPr>
              <w:t>: Being developed</w:t>
            </w:r>
          </w:p>
          <w:p w:rsidR="00E3130A" w:rsidRDefault="00082197">
            <w:pPr>
              <w:widowControl w:val="0"/>
              <w:numPr>
                <w:ilvl w:val="0"/>
                <w:numId w:val="3"/>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Other (please specify):</w:t>
            </w:r>
          </w:p>
          <w:p w:rsidR="00E3130A" w:rsidRDefault="002E0344" w:rsidP="002E0344">
            <w:pPr>
              <w:widowControl w:val="0"/>
              <w:pBdr>
                <w:top w:val="nil"/>
                <w:left w:val="nil"/>
                <w:bottom w:val="nil"/>
                <w:right w:val="nil"/>
                <w:between w:val="nil"/>
              </w:pBdr>
              <w:spacing w:before="280" w:after="120"/>
              <w:ind w:left="0" w:firstLine="0"/>
              <w:cnfStyle w:val="000000000000"/>
              <w:rPr>
                <w:rFonts w:ascii="Calibri" w:eastAsia="Calibri" w:hAnsi="Calibri" w:cs="Calibri"/>
                <w:color w:val="000000"/>
                <w:sz w:val="20"/>
                <w:szCs w:val="20"/>
              </w:rPr>
            </w:pPr>
            <w:r>
              <w:rPr>
                <w:rFonts w:ascii="Calibri" w:eastAsia="Calibri" w:hAnsi="Calibri" w:cs="Calibri"/>
                <w:color w:val="000000"/>
                <w:sz w:val="20"/>
                <w:szCs w:val="20"/>
              </w:rPr>
              <w:t>Partnership with SANHITA Gender Resource Centre for developing training material and agenda.</w:t>
            </w:r>
          </w:p>
        </w:tc>
      </w:tr>
      <w:tr w:rsidR="00E3130A" w:rsidTr="00E3130A">
        <w:trPr>
          <w:trHeight w:val="4218"/>
        </w:trPr>
        <w:tc>
          <w:tcPr>
            <w:cnfStyle w:val="001000000000"/>
            <w:tcW w:w="5760" w:type="dxa"/>
            <w:vMerge/>
            <w:tcBorders>
              <w:top w:val="single" w:sz="4" w:space="0" w:color="000000"/>
              <w:left w:val="single" w:sz="4" w:space="0" w:color="000000"/>
              <w:bottom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rPr>
                <w:rFonts w:ascii="Calibri" w:eastAsia="Calibri" w:hAnsi="Calibri" w:cs="Calibri"/>
                <w:color w:val="000000"/>
                <w:sz w:val="20"/>
                <w:szCs w:val="20"/>
              </w:rPr>
            </w:pPr>
          </w:p>
        </w:tc>
        <w:tc>
          <w:tcPr>
            <w:tcW w:w="2072" w:type="dxa"/>
            <w:gridSpan w:val="3"/>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spacing w:after="120" w:line="276" w:lineRule="auto"/>
              <w:cnfStyle w:val="000000000000"/>
              <w:rPr>
                <w:sz w:val="20"/>
                <w:szCs w:val="20"/>
              </w:rPr>
            </w:pPr>
            <w:r>
              <w:rPr>
                <w:sz w:val="20"/>
                <w:szCs w:val="20"/>
              </w:rPr>
              <w:t>Comments:</w:t>
            </w:r>
          </w:p>
          <w:p w:rsidR="00E3130A" w:rsidRDefault="00082197">
            <w:pPr>
              <w:widowControl w:val="0"/>
              <w:spacing w:after="120" w:line="276" w:lineRule="auto"/>
              <w:cnfStyle w:val="000000000000"/>
              <w:rPr>
                <w:sz w:val="20"/>
                <w:szCs w:val="20"/>
              </w:rPr>
            </w:pPr>
            <w:r>
              <w:rPr>
                <w:sz w:val="20"/>
                <w:szCs w:val="20"/>
              </w:rPr>
              <w:t xml:space="preserve">Our organization holds mandatory training on appropriate behavior in the field for all staff members but not sub-contractors, consultants, volunteers, etc. </w:t>
            </w:r>
          </w:p>
        </w:tc>
        <w:tc>
          <w:tcPr>
            <w:tcW w:w="2519" w:type="dxa"/>
            <w:vMerge/>
            <w:tcBorders>
              <w:top w:val="single" w:sz="4" w:space="0" w:color="000000"/>
              <w:left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cnfStyle w:val="000000000000"/>
              <w:rPr>
                <w:sz w:val="20"/>
                <w:szCs w:val="20"/>
              </w:rPr>
            </w:pPr>
          </w:p>
        </w:tc>
      </w:tr>
    </w:tbl>
    <w:p w:rsidR="00E3130A" w:rsidRDefault="00E3130A">
      <w:pPr>
        <w:spacing w:after="0" w:line="240" w:lineRule="auto"/>
        <w:rPr>
          <w:sz w:val="20"/>
          <w:szCs w:val="20"/>
        </w:rPr>
      </w:pPr>
    </w:p>
    <w:p w:rsidR="00E3130A" w:rsidRDefault="00E3130A">
      <w:pPr>
        <w:spacing w:after="0" w:line="240" w:lineRule="auto"/>
        <w:rPr>
          <w:sz w:val="20"/>
          <w:szCs w:val="20"/>
        </w:rPr>
      </w:pPr>
    </w:p>
    <w:tbl>
      <w:tblPr>
        <w:tblStyle w:val="a2"/>
        <w:tblW w:w="1034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6A0"/>
      </w:tblPr>
      <w:tblGrid>
        <w:gridCol w:w="5756"/>
        <w:gridCol w:w="869"/>
        <w:gridCol w:w="660"/>
        <w:gridCol w:w="542"/>
        <w:gridCol w:w="2518"/>
      </w:tblGrid>
      <w:tr w:rsidR="00E3130A" w:rsidTr="00E3130A">
        <w:trPr>
          <w:cnfStyle w:val="100000000000"/>
          <w:trHeight w:val="474"/>
        </w:trPr>
        <w:tc>
          <w:tcPr>
            <w:cnfStyle w:val="001000000000"/>
            <w:tcW w:w="5756"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rPr>
                <w:color w:val="000000"/>
                <w:sz w:val="20"/>
                <w:szCs w:val="20"/>
              </w:rPr>
            </w:pPr>
            <w:r>
              <w:rPr>
                <w:color w:val="000000"/>
                <w:sz w:val="20"/>
                <w:szCs w:val="20"/>
              </w:rPr>
              <w:t>Core Standard</w:t>
            </w:r>
          </w:p>
        </w:tc>
        <w:tc>
          <w:tcPr>
            <w:tcW w:w="869"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100000000000"/>
              <w:rPr>
                <w:color w:val="000000"/>
                <w:sz w:val="20"/>
                <w:szCs w:val="20"/>
              </w:rPr>
            </w:pPr>
            <w:r>
              <w:rPr>
                <w:color w:val="000000"/>
                <w:sz w:val="20"/>
                <w:szCs w:val="20"/>
              </w:rPr>
              <w:t>1</w:t>
            </w:r>
          </w:p>
        </w:tc>
        <w:tc>
          <w:tcPr>
            <w:tcW w:w="660"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100000000000"/>
              <w:rPr>
                <w:color w:val="000000"/>
                <w:sz w:val="20"/>
                <w:szCs w:val="20"/>
              </w:rPr>
            </w:pPr>
            <w:r>
              <w:rPr>
                <w:color w:val="000000"/>
                <w:sz w:val="20"/>
                <w:szCs w:val="20"/>
              </w:rPr>
              <w:t>2</w:t>
            </w:r>
          </w:p>
        </w:tc>
        <w:tc>
          <w:tcPr>
            <w:tcW w:w="542"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100000000000"/>
              <w:rPr>
                <w:color w:val="000000"/>
                <w:sz w:val="20"/>
                <w:szCs w:val="20"/>
              </w:rPr>
            </w:pPr>
            <w:r>
              <w:rPr>
                <w:color w:val="000000"/>
                <w:sz w:val="20"/>
                <w:szCs w:val="20"/>
              </w:rPr>
              <w:t>3</w:t>
            </w:r>
          </w:p>
        </w:tc>
        <w:tc>
          <w:tcPr>
            <w:tcW w:w="2518"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jc w:val="center"/>
              <w:cnfStyle w:val="100000000000"/>
              <w:rPr>
                <w:color w:val="000000"/>
                <w:sz w:val="20"/>
                <w:szCs w:val="20"/>
              </w:rPr>
            </w:pPr>
            <w:r>
              <w:rPr>
                <w:color w:val="000000"/>
                <w:sz w:val="20"/>
                <w:szCs w:val="20"/>
              </w:rPr>
              <w:t>Proof of evidence</w:t>
            </w:r>
          </w:p>
        </w:tc>
      </w:tr>
      <w:tr w:rsidR="00E3130A" w:rsidTr="00E3130A">
        <w:trPr>
          <w:trHeight w:val="474"/>
        </w:trPr>
        <w:tc>
          <w:tcPr>
            <w:cnfStyle w:val="001000000000"/>
            <w:tcW w:w="5756" w:type="dxa"/>
            <w:vMerge w:val="restart"/>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rPr>
                <w:sz w:val="20"/>
                <w:szCs w:val="20"/>
              </w:rPr>
            </w:pPr>
            <w:r>
              <w:rPr>
                <w:sz w:val="20"/>
                <w:szCs w:val="20"/>
              </w:rPr>
              <w:t>Core Standard 4: Reporting</w:t>
            </w:r>
          </w:p>
          <w:p w:rsidR="00E3130A" w:rsidRDefault="00082197">
            <w:pPr>
              <w:widowControl w:val="0"/>
              <w:spacing w:after="120" w:line="276" w:lineRule="auto"/>
              <w:rPr>
                <w:sz w:val="20"/>
                <w:szCs w:val="20"/>
              </w:rPr>
            </w:pPr>
            <w:r>
              <w:rPr>
                <w:b w:val="0"/>
                <w:sz w:val="20"/>
                <w:szCs w:val="20"/>
              </w:rPr>
              <w:t xml:space="preserve">Refer </w:t>
            </w:r>
            <w:hyperlink r:id="rId11">
              <w:r>
                <w:rPr>
                  <w:b w:val="0"/>
                  <w:color w:val="0000FF"/>
                  <w:sz w:val="20"/>
                  <w:szCs w:val="20"/>
                  <w:u w:val="single"/>
                </w:rPr>
                <w:t>PSEA Toolkit</w:t>
              </w:r>
            </w:hyperlink>
            <w:r>
              <w:rPr>
                <w:b w:val="0"/>
                <w:color w:val="000000"/>
                <w:sz w:val="20"/>
                <w:szCs w:val="20"/>
              </w:rPr>
              <w:t>Section 4.3.2. Awareness-raising and Section 5.2. Reporting Mechanisms</w:t>
            </w:r>
          </w:p>
          <w:p w:rsidR="00E3130A" w:rsidRDefault="00082197">
            <w:pPr>
              <w:widowControl w:val="0"/>
              <w:spacing w:after="120" w:line="276" w:lineRule="auto"/>
              <w:rPr>
                <w:sz w:val="20"/>
                <w:szCs w:val="20"/>
              </w:rPr>
            </w:pPr>
            <w:r>
              <w:rPr>
                <w:b w:val="0"/>
                <w:sz w:val="20"/>
                <w:szCs w:val="20"/>
                <w:u w:val="single"/>
              </w:rPr>
              <w:t>Required 1:</w:t>
            </w:r>
            <w:r>
              <w:rPr>
                <w:b w:val="0"/>
                <w:sz w:val="20"/>
                <w:szCs w:val="20"/>
              </w:rPr>
              <w:t xml:space="preserve"> The organization has mechanisms and procedures for personnel, beneficiaries and communities, including children, to report SEA allegations that comply with core standards for reporting (i.e. safety, confidentiality, transparency, accessibility) and ensures that beneficiaries are aware of these.  </w:t>
            </w:r>
          </w:p>
          <w:p w:rsidR="00E3130A" w:rsidRDefault="00082197">
            <w:pPr>
              <w:widowControl w:val="0"/>
              <w:spacing w:after="120"/>
              <w:ind w:left="-30" w:firstLine="0"/>
            </w:pPr>
            <w:r>
              <w:rPr>
                <w:b w:val="0"/>
                <w:sz w:val="22"/>
                <w:szCs w:val="22"/>
              </w:rPr>
              <w:t>(UN IP Protocol para 19 &amp; Annex A.3)</w:t>
            </w:r>
          </w:p>
        </w:tc>
        <w:tc>
          <w:tcPr>
            <w:tcW w:w="869"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p>
        </w:tc>
        <w:tc>
          <w:tcPr>
            <w:tcW w:w="660"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000000000000"/>
              <w:rPr>
                <w:sz w:val="20"/>
                <w:szCs w:val="20"/>
              </w:rPr>
            </w:pPr>
            <w:r>
              <w:rPr>
                <w:sz w:val="20"/>
                <w:szCs w:val="20"/>
              </w:rPr>
              <w:t>⌧</w:t>
            </w:r>
            <w:r w:rsidR="003E146F">
              <w:rPr>
                <w:sz w:val="20"/>
                <w:szCs w:val="20"/>
              </w:rPr>
              <w:t>x</w:t>
            </w:r>
          </w:p>
        </w:tc>
        <w:tc>
          <w:tcPr>
            <w:tcW w:w="542"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p>
        </w:tc>
        <w:tc>
          <w:tcPr>
            <w:tcW w:w="2518" w:type="dxa"/>
            <w:vMerge w:val="restart"/>
            <w:tcBorders>
              <w:top w:val="single" w:sz="4" w:space="0" w:color="000000"/>
              <w:left w:val="single" w:sz="4" w:space="0" w:color="000000"/>
              <w:bottom w:val="single" w:sz="4" w:space="0" w:color="000000"/>
              <w:right w:val="single" w:sz="4" w:space="0" w:color="000000"/>
            </w:tcBorders>
          </w:tcPr>
          <w:p w:rsidR="00E3130A" w:rsidRDefault="00082197">
            <w:pPr>
              <w:widowControl w:val="0"/>
              <w:numPr>
                <w:ilvl w:val="0"/>
                <w:numId w:val="1"/>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Communication materials</w:t>
            </w:r>
            <w:r w:rsidR="002E0344">
              <w:rPr>
                <w:rFonts w:ascii="Calibri" w:eastAsia="Calibri" w:hAnsi="Calibri" w:cs="Calibri"/>
                <w:color w:val="000000"/>
                <w:sz w:val="20"/>
                <w:szCs w:val="20"/>
              </w:rPr>
              <w:t>: Yes</w:t>
            </w:r>
          </w:p>
          <w:p w:rsidR="00E3130A" w:rsidRDefault="00082197">
            <w:pPr>
              <w:widowControl w:val="0"/>
              <w:numPr>
                <w:ilvl w:val="0"/>
                <w:numId w:val="1"/>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 xml:space="preserve">PSEA awareness-raising plan </w:t>
            </w:r>
            <w:r w:rsidR="002E0344">
              <w:rPr>
                <w:rFonts w:ascii="Calibri" w:eastAsia="Calibri" w:hAnsi="Calibri" w:cs="Calibri"/>
                <w:color w:val="000000"/>
                <w:sz w:val="20"/>
                <w:szCs w:val="20"/>
              </w:rPr>
              <w:t>: Yes</w:t>
            </w:r>
          </w:p>
          <w:p w:rsidR="00E3130A" w:rsidRDefault="00082197">
            <w:pPr>
              <w:widowControl w:val="0"/>
              <w:numPr>
                <w:ilvl w:val="0"/>
                <w:numId w:val="1"/>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Description of Reporting Mechanism</w:t>
            </w:r>
            <w:r w:rsidR="002E0344">
              <w:rPr>
                <w:rFonts w:ascii="Calibri" w:eastAsia="Calibri" w:hAnsi="Calibri" w:cs="Calibri"/>
                <w:color w:val="000000"/>
                <w:sz w:val="20"/>
                <w:szCs w:val="20"/>
              </w:rPr>
              <w:t>: yes</w:t>
            </w:r>
          </w:p>
          <w:p w:rsidR="00E3130A" w:rsidRDefault="00082197">
            <w:pPr>
              <w:widowControl w:val="0"/>
              <w:numPr>
                <w:ilvl w:val="0"/>
                <w:numId w:val="1"/>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Whistle-blower Policy</w:t>
            </w:r>
            <w:r w:rsidR="002E0344">
              <w:rPr>
                <w:rFonts w:ascii="Calibri" w:eastAsia="Calibri" w:hAnsi="Calibri" w:cs="Calibri"/>
                <w:color w:val="000000"/>
                <w:sz w:val="20"/>
                <w:szCs w:val="20"/>
              </w:rPr>
              <w:t>: No</w:t>
            </w:r>
          </w:p>
          <w:p w:rsidR="00E3130A" w:rsidRDefault="00082197">
            <w:pPr>
              <w:widowControl w:val="0"/>
              <w:numPr>
                <w:ilvl w:val="0"/>
                <w:numId w:val="6"/>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Other (please specify): Draft SOP</w:t>
            </w:r>
          </w:p>
        </w:tc>
      </w:tr>
      <w:tr w:rsidR="00E3130A" w:rsidTr="00E3130A">
        <w:trPr>
          <w:trHeight w:val="141"/>
        </w:trPr>
        <w:tc>
          <w:tcPr>
            <w:cnfStyle w:val="001000000000"/>
            <w:tcW w:w="5756" w:type="dxa"/>
            <w:vMerge/>
            <w:tcBorders>
              <w:top w:val="single" w:sz="4" w:space="0" w:color="000000"/>
              <w:left w:val="single" w:sz="4" w:space="0" w:color="000000"/>
              <w:bottom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rPr>
                <w:rFonts w:ascii="Calibri" w:eastAsia="Calibri" w:hAnsi="Calibri" w:cs="Calibri"/>
                <w:color w:val="000000"/>
                <w:sz w:val="20"/>
                <w:szCs w:val="20"/>
              </w:rPr>
            </w:pPr>
          </w:p>
        </w:tc>
        <w:tc>
          <w:tcPr>
            <w:tcW w:w="2071" w:type="dxa"/>
            <w:gridSpan w:val="3"/>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rsidP="003E146F">
            <w:pPr>
              <w:widowControl w:val="0"/>
              <w:spacing w:after="120" w:line="276" w:lineRule="auto"/>
              <w:cnfStyle w:val="000000000000"/>
              <w:rPr>
                <w:sz w:val="20"/>
                <w:szCs w:val="20"/>
              </w:rPr>
            </w:pPr>
            <w:r>
              <w:rPr>
                <w:sz w:val="20"/>
                <w:szCs w:val="20"/>
              </w:rPr>
              <w:t xml:space="preserve">Comments: Our organization is in the process of setting up SOPs on complaints mechanisms. </w:t>
            </w:r>
          </w:p>
        </w:tc>
        <w:tc>
          <w:tcPr>
            <w:tcW w:w="2518" w:type="dxa"/>
            <w:vMerge/>
            <w:tcBorders>
              <w:top w:val="single" w:sz="4" w:space="0" w:color="000000"/>
              <w:left w:val="single" w:sz="4" w:space="0" w:color="000000"/>
              <w:bottom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cnfStyle w:val="000000000000"/>
              <w:rPr>
                <w:sz w:val="20"/>
                <w:szCs w:val="20"/>
              </w:rPr>
            </w:pPr>
          </w:p>
        </w:tc>
      </w:tr>
    </w:tbl>
    <w:p w:rsidR="00E3130A" w:rsidRDefault="00E3130A"/>
    <w:p w:rsidR="00E3130A" w:rsidRDefault="00082197">
      <w:r>
        <w:br w:type="page"/>
      </w:r>
    </w:p>
    <w:tbl>
      <w:tblPr>
        <w:tblStyle w:val="a3"/>
        <w:tblW w:w="1034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6A0"/>
      </w:tblPr>
      <w:tblGrid>
        <w:gridCol w:w="5756"/>
        <w:gridCol w:w="689"/>
        <w:gridCol w:w="689"/>
        <w:gridCol w:w="691"/>
        <w:gridCol w:w="2520"/>
      </w:tblGrid>
      <w:tr w:rsidR="00E3130A" w:rsidTr="00E3130A">
        <w:trPr>
          <w:cnfStyle w:val="100000000000"/>
          <w:trHeight w:val="141"/>
        </w:trPr>
        <w:tc>
          <w:tcPr>
            <w:cnfStyle w:val="001000000000"/>
            <w:tcW w:w="5756" w:type="dxa"/>
            <w:tcBorders>
              <w:top w:val="single" w:sz="4" w:space="0" w:color="000000"/>
              <w:left w:val="single" w:sz="4" w:space="0" w:color="000000"/>
              <w:right w:val="single" w:sz="4" w:space="0" w:color="000000"/>
            </w:tcBorders>
          </w:tcPr>
          <w:p w:rsidR="00E3130A" w:rsidRDefault="00082197">
            <w:pPr>
              <w:widowControl w:val="0"/>
              <w:spacing w:after="120" w:line="276" w:lineRule="auto"/>
              <w:rPr>
                <w:color w:val="000000"/>
                <w:sz w:val="20"/>
                <w:szCs w:val="20"/>
              </w:rPr>
            </w:pPr>
            <w:r>
              <w:rPr>
                <w:color w:val="000000"/>
                <w:sz w:val="20"/>
                <w:szCs w:val="20"/>
              </w:rPr>
              <w:lastRenderedPageBreak/>
              <w:t>Core Standard</w:t>
            </w:r>
          </w:p>
        </w:tc>
        <w:tc>
          <w:tcPr>
            <w:tcW w:w="689"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100000000000"/>
              <w:rPr>
                <w:color w:val="000000"/>
                <w:sz w:val="20"/>
                <w:szCs w:val="20"/>
              </w:rPr>
            </w:pPr>
            <w:r>
              <w:rPr>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100000000000"/>
              <w:rPr>
                <w:color w:val="000000"/>
                <w:sz w:val="20"/>
                <w:szCs w:val="20"/>
              </w:rPr>
            </w:pPr>
            <w:r>
              <w:rPr>
                <w:color w:val="000000"/>
                <w:sz w:val="20"/>
                <w:szCs w:val="20"/>
              </w:rPr>
              <w:t>2</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100000000000"/>
              <w:rPr>
                <w:color w:val="000000"/>
                <w:sz w:val="20"/>
                <w:szCs w:val="20"/>
              </w:rPr>
            </w:pPr>
            <w:r>
              <w:rPr>
                <w:color w:val="000000"/>
                <w:sz w:val="20"/>
                <w:szCs w:val="20"/>
              </w:rPr>
              <w:t>3</w:t>
            </w:r>
          </w:p>
        </w:tc>
        <w:tc>
          <w:tcPr>
            <w:tcW w:w="2520" w:type="dxa"/>
            <w:tcBorders>
              <w:top w:val="single" w:sz="4" w:space="0" w:color="000000"/>
              <w:left w:val="single" w:sz="4" w:space="0" w:color="000000"/>
              <w:right w:val="single" w:sz="4" w:space="0" w:color="000000"/>
            </w:tcBorders>
          </w:tcPr>
          <w:p w:rsidR="00E3130A" w:rsidRDefault="00082197">
            <w:pPr>
              <w:widowControl w:val="0"/>
              <w:spacing w:after="120" w:line="276" w:lineRule="auto"/>
              <w:jc w:val="center"/>
              <w:cnfStyle w:val="100000000000"/>
              <w:rPr>
                <w:color w:val="000000"/>
                <w:sz w:val="20"/>
                <w:szCs w:val="20"/>
              </w:rPr>
            </w:pPr>
            <w:r>
              <w:rPr>
                <w:color w:val="000000"/>
                <w:sz w:val="20"/>
                <w:szCs w:val="20"/>
              </w:rPr>
              <w:t>Proof of evidence</w:t>
            </w:r>
          </w:p>
        </w:tc>
      </w:tr>
      <w:tr w:rsidR="00E3130A" w:rsidTr="00E3130A">
        <w:trPr>
          <w:trHeight w:val="141"/>
        </w:trPr>
        <w:tc>
          <w:tcPr>
            <w:cnfStyle w:val="001000000000"/>
            <w:tcW w:w="5756" w:type="dxa"/>
            <w:vMerge w:val="restart"/>
            <w:tcBorders>
              <w:top w:val="single" w:sz="4" w:space="0" w:color="000000"/>
              <w:left w:val="single" w:sz="4" w:space="0" w:color="000000"/>
              <w:right w:val="single" w:sz="4" w:space="0" w:color="000000"/>
            </w:tcBorders>
          </w:tcPr>
          <w:p w:rsidR="00E3130A" w:rsidRDefault="00082197">
            <w:pPr>
              <w:widowControl w:val="0"/>
              <w:spacing w:after="120" w:line="276" w:lineRule="auto"/>
              <w:rPr>
                <w:sz w:val="20"/>
                <w:szCs w:val="20"/>
              </w:rPr>
            </w:pPr>
            <w:r>
              <w:rPr>
                <w:sz w:val="20"/>
                <w:szCs w:val="20"/>
              </w:rPr>
              <w:t>Core Standard 5: Assistance and Referrals</w:t>
            </w:r>
          </w:p>
          <w:p w:rsidR="00E3130A" w:rsidRDefault="00082197">
            <w:pPr>
              <w:widowControl w:val="0"/>
              <w:spacing w:after="120" w:line="276" w:lineRule="auto"/>
              <w:rPr>
                <w:sz w:val="20"/>
                <w:szCs w:val="20"/>
              </w:rPr>
            </w:pPr>
            <w:r>
              <w:rPr>
                <w:b w:val="0"/>
                <w:sz w:val="20"/>
                <w:szCs w:val="20"/>
              </w:rPr>
              <w:t xml:space="preserve">Refer </w:t>
            </w:r>
            <w:hyperlink r:id="rId12">
              <w:r>
                <w:rPr>
                  <w:b w:val="0"/>
                  <w:color w:val="0000FF"/>
                  <w:sz w:val="20"/>
                  <w:szCs w:val="20"/>
                  <w:u w:val="single"/>
                </w:rPr>
                <w:t>PSEA Toolkit</w:t>
              </w:r>
            </w:hyperlink>
            <w:r>
              <w:rPr>
                <w:b w:val="0"/>
                <w:color w:val="000000"/>
                <w:sz w:val="20"/>
                <w:szCs w:val="20"/>
              </w:rPr>
              <w:t>Section 6.2. Assistance and Referrals</w:t>
            </w:r>
          </w:p>
          <w:p w:rsidR="00E3130A" w:rsidRDefault="00082197">
            <w:pPr>
              <w:widowControl w:val="0"/>
              <w:spacing w:after="120" w:line="276" w:lineRule="auto"/>
              <w:rPr>
                <w:sz w:val="20"/>
                <w:szCs w:val="20"/>
              </w:rPr>
            </w:pPr>
            <w:r>
              <w:rPr>
                <w:b w:val="0"/>
                <w:sz w:val="20"/>
                <w:szCs w:val="20"/>
              </w:rPr>
              <w:t xml:space="preserve">Required 1: The organization has a system to ensure survivors of SEA, including children, receive immediate professional assistance, referring them to qualified service providers </w:t>
            </w:r>
          </w:p>
          <w:p w:rsidR="00E3130A" w:rsidRDefault="00082197">
            <w:pPr>
              <w:widowControl w:val="0"/>
              <w:spacing w:after="120"/>
              <w:rPr>
                <w:sz w:val="20"/>
                <w:szCs w:val="20"/>
              </w:rPr>
            </w:pPr>
            <w:r>
              <w:rPr>
                <w:b w:val="0"/>
                <w:sz w:val="22"/>
                <w:szCs w:val="22"/>
              </w:rPr>
              <w:t>(UN IP Protocol para 22.d.)</w:t>
            </w:r>
          </w:p>
        </w:tc>
        <w:tc>
          <w:tcPr>
            <w:tcW w:w="689"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p>
        </w:tc>
        <w:tc>
          <w:tcPr>
            <w:tcW w:w="689"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r w:rsidR="003E146F">
              <w:rPr>
                <w:rFonts w:ascii="Noto Sans Symbols" w:eastAsia="Noto Sans Symbols" w:hAnsi="Noto Sans Symbols" w:cs="Noto Sans Symbols"/>
                <w:sz w:val="20"/>
                <w:szCs w:val="20"/>
              </w:rPr>
              <w:t>x</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000000000000"/>
              <w:rPr>
                <w:sz w:val="20"/>
                <w:szCs w:val="20"/>
              </w:rPr>
            </w:pPr>
            <w:r>
              <w:rPr>
                <w:sz w:val="20"/>
                <w:szCs w:val="20"/>
              </w:rPr>
              <w:t>⌧</w:t>
            </w:r>
          </w:p>
        </w:tc>
        <w:tc>
          <w:tcPr>
            <w:tcW w:w="2520" w:type="dxa"/>
            <w:vMerge w:val="restart"/>
            <w:tcBorders>
              <w:top w:val="single" w:sz="4" w:space="0" w:color="000000"/>
              <w:left w:val="single" w:sz="4" w:space="0" w:color="000000"/>
              <w:right w:val="single" w:sz="4" w:space="0" w:color="000000"/>
            </w:tcBorders>
          </w:tcPr>
          <w:p w:rsidR="00E3130A" w:rsidRDefault="00082197">
            <w:pPr>
              <w:widowControl w:val="0"/>
              <w:numPr>
                <w:ilvl w:val="0"/>
                <w:numId w:val="6"/>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List of Service Providers</w:t>
            </w:r>
            <w:r w:rsidR="002E0344">
              <w:rPr>
                <w:rFonts w:ascii="Calibri" w:eastAsia="Calibri" w:hAnsi="Calibri" w:cs="Calibri"/>
                <w:color w:val="000000"/>
                <w:sz w:val="20"/>
                <w:szCs w:val="20"/>
              </w:rPr>
              <w:t>:  Being developed</w:t>
            </w:r>
          </w:p>
          <w:p w:rsidR="00E3130A" w:rsidRDefault="00082197">
            <w:pPr>
              <w:widowControl w:val="0"/>
              <w:numPr>
                <w:ilvl w:val="0"/>
                <w:numId w:val="6"/>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Description of Referral Process</w:t>
            </w:r>
            <w:r w:rsidR="002E0344">
              <w:rPr>
                <w:rFonts w:ascii="Calibri" w:eastAsia="Calibri" w:hAnsi="Calibri" w:cs="Calibri"/>
                <w:color w:val="000000"/>
                <w:sz w:val="20"/>
                <w:szCs w:val="20"/>
              </w:rPr>
              <w:t>: Short outline</w:t>
            </w:r>
          </w:p>
          <w:p w:rsidR="003E146F" w:rsidRDefault="003E146F" w:rsidP="003E146F">
            <w:pPr>
              <w:widowControl w:val="0"/>
              <w:pBdr>
                <w:top w:val="nil"/>
                <w:left w:val="nil"/>
                <w:bottom w:val="nil"/>
                <w:right w:val="nil"/>
                <w:between w:val="nil"/>
              </w:pBdr>
              <w:spacing w:after="120" w:line="276" w:lineRule="auto"/>
              <w:ind w:left="0" w:firstLine="0"/>
              <w:cnfStyle w:val="000000000000"/>
              <w:rPr>
                <w:rFonts w:ascii="Calibri" w:eastAsia="Calibri" w:hAnsi="Calibri" w:cs="Calibri"/>
                <w:color w:val="000000"/>
                <w:sz w:val="20"/>
                <w:szCs w:val="20"/>
              </w:rPr>
            </w:pPr>
            <w:r>
              <w:rPr>
                <w:sz w:val="20"/>
                <w:szCs w:val="20"/>
              </w:rPr>
              <w:t xml:space="preserve">⌧     </w:t>
            </w:r>
            <w:r w:rsidR="00082197">
              <w:rPr>
                <w:rFonts w:ascii="Calibri" w:eastAsia="Calibri" w:hAnsi="Calibri" w:cs="Calibri"/>
                <w:color w:val="000000"/>
                <w:sz w:val="20"/>
                <w:szCs w:val="20"/>
              </w:rPr>
              <w:t xml:space="preserve">Referral form for </w:t>
            </w:r>
            <w:r>
              <w:rPr>
                <w:rFonts w:ascii="Calibri" w:eastAsia="Calibri" w:hAnsi="Calibri" w:cs="Calibri"/>
                <w:color w:val="000000"/>
                <w:sz w:val="20"/>
                <w:szCs w:val="20"/>
              </w:rPr>
              <w:t xml:space="preserve">   </w:t>
            </w:r>
          </w:p>
          <w:p w:rsidR="00E3130A" w:rsidRPr="003E146F" w:rsidRDefault="003E146F" w:rsidP="003E146F">
            <w:pPr>
              <w:widowControl w:val="0"/>
              <w:pBdr>
                <w:top w:val="nil"/>
                <w:left w:val="nil"/>
                <w:bottom w:val="nil"/>
                <w:right w:val="nil"/>
                <w:between w:val="nil"/>
              </w:pBdr>
              <w:spacing w:after="120" w:line="276" w:lineRule="auto"/>
              <w:ind w:left="0" w:firstLine="0"/>
              <w:cnfStyle w:val="000000000000"/>
              <w:rPr>
                <w:sz w:val="20"/>
                <w:szCs w:val="20"/>
              </w:rPr>
            </w:pPr>
            <w:r>
              <w:rPr>
                <w:rFonts w:ascii="Calibri" w:eastAsia="Calibri" w:hAnsi="Calibri" w:cs="Calibri"/>
                <w:color w:val="000000"/>
                <w:sz w:val="20"/>
                <w:szCs w:val="20"/>
              </w:rPr>
              <w:t xml:space="preserve">           </w:t>
            </w:r>
            <w:r w:rsidR="00082197">
              <w:rPr>
                <w:rFonts w:ascii="Calibri" w:eastAsia="Calibri" w:hAnsi="Calibri" w:cs="Calibri"/>
                <w:color w:val="000000"/>
                <w:sz w:val="20"/>
                <w:szCs w:val="20"/>
              </w:rPr>
              <w:t>survivors of GBV/SEA</w:t>
            </w:r>
            <w:r w:rsidR="002E0344">
              <w:rPr>
                <w:rFonts w:ascii="Calibri" w:eastAsia="Calibri" w:hAnsi="Calibri" w:cs="Calibri"/>
                <w:color w:val="000000"/>
                <w:sz w:val="20"/>
                <w:szCs w:val="20"/>
              </w:rPr>
              <w:t>: Being developed</w:t>
            </w:r>
            <w:r w:rsidR="00082197">
              <w:rPr>
                <w:rFonts w:ascii="Calibri" w:eastAsia="Calibri" w:hAnsi="Calibri" w:cs="Calibri"/>
                <w:color w:val="000000"/>
                <w:sz w:val="20"/>
                <w:szCs w:val="20"/>
              </w:rPr>
              <w:t xml:space="preserve">  </w:t>
            </w:r>
          </w:p>
          <w:p w:rsidR="00E3130A" w:rsidRDefault="003E146F">
            <w:pPr>
              <w:widowControl w:val="0"/>
              <w:spacing w:after="120" w:line="276" w:lineRule="auto"/>
              <w:cnfStyle w:val="000000000000"/>
              <w:rPr>
                <w:sz w:val="20"/>
                <w:szCs w:val="20"/>
              </w:rPr>
            </w:pPr>
            <w:r>
              <w:rPr>
                <w:sz w:val="20"/>
                <w:szCs w:val="20"/>
              </w:rPr>
              <w:t>x</w:t>
            </w:r>
            <w:r w:rsidR="00082197">
              <w:rPr>
                <w:sz w:val="20"/>
                <w:szCs w:val="20"/>
              </w:rPr>
              <w:t>⌧   Other (please specify): SOP on survivor-centerered assistance</w:t>
            </w:r>
            <w:r w:rsidR="002E0344">
              <w:rPr>
                <w:sz w:val="20"/>
                <w:szCs w:val="20"/>
              </w:rPr>
              <w:t xml:space="preserve"> being developed</w:t>
            </w:r>
          </w:p>
        </w:tc>
      </w:tr>
      <w:tr w:rsidR="00E3130A" w:rsidTr="00E3130A">
        <w:trPr>
          <w:trHeight w:val="141"/>
        </w:trPr>
        <w:tc>
          <w:tcPr>
            <w:cnfStyle w:val="001000000000"/>
            <w:tcW w:w="5756" w:type="dxa"/>
            <w:vMerge/>
            <w:tcBorders>
              <w:top w:val="single" w:sz="4" w:space="0" w:color="000000"/>
              <w:left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rPr>
                <w:sz w:val="20"/>
                <w:szCs w:val="20"/>
              </w:rPr>
            </w:pPr>
          </w:p>
        </w:tc>
        <w:tc>
          <w:tcPr>
            <w:tcW w:w="2069" w:type="dxa"/>
            <w:gridSpan w:val="3"/>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spacing w:after="120" w:line="276" w:lineRule="auto"/>
              <w:cnfStyle w:val="000000000000"/>
              <w:rPr>
                <w:sz w:val="20"/>
                <w:szCs w:val="20"/>
              </w:rPr>
            </w:pPr>
            <w:r>
              <w:rPr>
                <w:sz w:val="20"/>
                <w:szCs w:val="20"/>
              </w:rPr>
              <w:t xml:space="preserve">Comments: </w:t>
            </w:r>
          </w:p>
        </w:tc>
        <w:tc>
          <w:tcPr>
            <w:tcW w:w="2520" w:type="dxa"/>
            <w:vMerge/>
            <w:tcBorders>
              <w:top w:val="single" w:sz="4" w:space="0" w:color="000000"/>
              <w:left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cnfStyle w:val="000000000000"/>
              <w:rPr>
                <w:sz w:val="20"/>
                <w:szCs w:val="20"/>
              </w:rPr>
            </w:pPr>
          </w:p>
        </w:tc>
      </w:tr>
    </w:tbl>
    <w:p w:rsidR="00E3130A" w:rsidRDefault="00E3130A">
      <w:pPr>
        <w:spacing w:after="0" w:line="240" w:lineRule="auto"/>
        <w:rPr>
          <w:sz w:val="20"/>
          <w:szCs w:val="20"/>
        </w:rPr>
      </w:pPr>
    </w:p>
    <w:tbl>
      <w:tblPr>
        <w:tblStyle w:val="a4"/>
        <w:tblW w:w="1034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6A0"/>
      </w:tblPr>
      <w:tblGrid>
        <w:gridCol w:w="5756"/>
        <w:gridCol w:w="689"/>
        <w:gridCol w:w="689"/>
        <w:gridCol w:w="691"/>
        <w:gridCol w:w="2520"/>
      </w:tblGrid>
      <w:tr w:rsidR="00E3130A" w:rsidTr="00E3130A">
        <w:trPr>
          <w:cnfStyle w:val="100000000000"/>
          <w:trHeight w:val="141"/>
        </w:trPr>
        <w:tc>
          <w:tcPr>
            <w:cnfStyle w:val="001000000000"/>
            <w:tcW w:w="5756"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rPr>
                <w:color w:val="000000"/>
                <w:sz w:val="20"/>
                <w:szCs w:val="20"/>
              </w:rPr>
            </w:pPr>
            <w:r>
              <w:rPr>
                <w:color w:val="000000"/>
                <w:sz w:val="20"/>
                <w:szCs w:val="20"/>
              </w:rPr>
              <w:t>Core Standard</w:t>
            </w:r>
          </w:p>
        </w:tc>
        <w:tc>
          <w:tcPr>
            <w:tcW w:w="689"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100000000000"/>
              <w:rPr>
                <w:color w:val="000000"/>
                <w:sz w:val="20"/>
                <w:szCs w:val="20"/>
              </w:rPr>
            </w:pPr>
            <w:r>
              <w:rPr>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100000000000"/>
              <w:rPr>
                <w:color w:val="000000"/>
                <w:sz w:val="20"/>
                <w:szCs w:val="20"/>
              </w:rPr>
            </w:pPr>
            <w:r>
              <w:rPr>
                <w:color w:val="000000"/>
                <w:sz w:val="20"/>
                <w:szCs w:val="20"/>
              </w:rPr>
              <w:t>2</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100000000000"/>
              <w:rPr>
                <w:color w:val="000000"/>
                <w:sz w:val="20"/>
                <w:szCs w:val="20"/>
              </w:rPr>
            </w:pPr>
            <w:r>
              <w:rPr>
                <w:color w:val="000000"/>
                <w:sz w:val="20"/>
                <w:szCs w:val="20"/>
              </w:rPr>
              <w:t>3</w:t>
            </w:r>
          </w:p>
        </w:tc>
        <w:tc>
          <w:tcPr>
            <w:tcW w:w="2520" w:type="dxa"/>
            <w:tcBorders>
              <w:top w:val="single" w:sz="4" w:space="0" w:color="000000"/>
              <w:left w:val="single" w:sz="4" w:space="0" w:color="000000"/>
              <w:bottom w:val="single" w:sz="4" w:space="0" w:color="000000"/>
              <w:right w:val="single" w:sz="4" w:space="0" w:color="000000"/>
            </w:tcBorders>
          </w:tcPr>
          <w:p w:rsidR="00E3130A" w:rsidRDefault="00082197">
            <w:pPr>
              <w:widowControl w:val="0"/>
              <w:spacing w:after="120" w:line="276" w:lineRule="auto"/>
              <w:jc w:val="center"/>
              <w:cnfStyle w:val="100000000000"/>
              <w:rPr>
                <w:color w:val="000000"/>
                <w:sz w:val="20"/>
                <w:szCs w:val="20"/>
              </w:rPr>
            </w:pPr>
            <w:r>
              <w:rPr>
                <w:color w:val="000000"/>
                <w:sz w:val="20"/>
                <w:szCs w:val="20"/>
              </w:rPr>
              <w:t>Proof of evidence</w:t>
            </w:r>
          </w:p>
        </w:tc>
      </w:tr>
      <w:tr w:rsidR="00E3130A" w:rsidTr="00E3130A">
        <w:trPr>
          <w:trHeight w:val="429"/>
        </w:trPr>
        <w:tc>
          <w:tcPr>
            <w:cnfStyle w:val="001000000000"/>
            <w:tcW w:w="57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spacing w:after="120" w:line="276" w:lineRule="auto"/>
              <w:rPr>
                <w:sz w:val="20"/>
                <w:szCs w:val="20"/>
              </w:rPr>
            </w:pPr>
            <w:r>
              <w:rPr>
                <w:sz w:val="20"/>
                <w:szCs w:val="20"/>
              </w:rPr>
              <w:t>Core Standard 6: Investigations</w:t>
            </w:r>
          </w:p>
          <w:p w:rsidR="00E3130A" w:rsidRDefault="00082197">
            <w:pPr>
              <w:widowControl w:val="0"/>
              <w:spacing w:after="120" w:line="276" w:lineRule="auto"/>
              <w:rPr>
                <w:sz w:val="20"/>
                <w:szCs w:val="20"/>
              </w:rPr>
            </w:pPr>
            <w:r>
              <w:rPr>
                <w:b w:val="0"/>
                <w:sz w:val="20"/>
                <w:szCs w:val="20"/>
              </w:rPr>
              <w:t xml:space="preserve">Refer </w:t>
            </w:r>
            <w:hyperlink r:id="rId13">
              <w:r>
                <w:rPr>
                  <w:b w:val="0"/>
                  <w:color w:val="0000FF"/>
                  <w:sz w:val="20"/>
                  <w:szCs w:val="20"/>
                  <w:u w:val="single"/>
                </w:rPr>
                <w:t>PSEA Toolkit</w:t>
              </w:r>
            </w:hyperlink>
            <w:hyperlink w:anchor="30j0zll">
              <w:r>
                <w:rPr>
                  <w:b w:val="0"/>
                  <w:color w:val="000000"/>
                  <w:sz w:val="20"/>
                  <w:szCs w:val="20"/>
                </w:rPr>
                <w:t>Section 7.2. Investigation Procedures</w:t>
              </w:r>
            </w:hyperlink>
            <w:r>
              <w:rPr>
                <w:b w:val="0"/>
                <w:sz w:val="20"/>
                <w:szCs w:val="20"/>
              </w:rPr>
              <w:t xml:space="preserve">. </w:t>
            </w:r>
          </w:p>
          <w:p w:rsidR="00E3130A" w:rsidRDefault="00082197">
            <w:pPr>
              <w:widowControl w:val="0"/>
              <w:spacing w:after="120" w:line="276" w:lineRule="auto"/>
              <w:rPr>
                <w:sz w:val="20"/>
                <w:szCs w:val="20"/>
              </w:rPr>
            </w:pPr>
            <w:r>
              <w:rPr>
                <w:b w:val="0"/>
                <w:sz w:val="20"/>
                <w:szCs w:val="20"/>
                <w:u w:val="single"/>
              </w:rPr>
              <w:t>Required 1:</w:t>
            </w:r>
            <w:r>
              <w:rPr>
                <w:b w:val="0"/>
                <w:sz w:val="20"/>
                <w:szCs w:val="20"/>
              </w:rPr>
              <w:t xml:space="preserve"> The organization has a process for investigation of allegations of SEA and can provide evidence that it has appropriately dealt with past SEA allegations, if any, through investigation and corrective action.</w:t>
            </w:r>
          </w:p>
          <w:p w:rsidR="00E3130A" w:rsidRDefault="00082197">
            <w:pPr>
              <w:widowControl w:val="0"/>
              <w:spacing w:after="120" w:line="276" w:lineRule="auto"/>
            </w:pPr>
            <w:r>
              <w:rPr>
                <w:b w:val="0"/>
                <w:sz w:val="22"/>
                <w:szCs w:val="22"/>
              </w:rPr>
              <w:t>(UN IP Protocol para 20, 22.a., &amp; Annex A.6)</w:t>
            </w:r>
          </w:p>
        </w:tc>
        <w:tc>
          <w:tcPr>
            <w:tcW w:w="689" w:type="dxa"/>
            <w:tcBorders>
              <w:top w:val="single" w:sz="4" w:space="0" w:color="000000"/>
              <w:left w:val="single" w:sz="4" w:space="0" w:color="000000"/>
              <w:bottom w:val="single" w:sz="4" w:space="0" w:color="000000"/>
              <w:right w:val="single" w:sz="4" w:space="0" w:color="000000"/>
            </w:tcBorders>
            <w:shd w:val="clear" w:color="auto" w:fill="F8999C"/>
          </w:tcPr>
          <w:p w:rsidR="00E3130A" w:rsidRDefault="00082197">
            <w:pPr>
              <w:widowControl w:val="0"/>
              <w:spacing w:after="120" w:line="276" w:lineRule="auto"/>
              <w:jc w:val="center"/>
              <w:cnfStyle w:val="000000000000"/>
              <w:rPr>
                <w:sz w:val="20"/>
                <w:szCs w:val="20"/>
              </w:rPr>
            </w:pPr>
            <w:r>
              <w:rPr>
                <w:sz w:val="20"/>
                <w:szCs w:val="20"/>
              </w:rPr>
              <w:t>⌧</w:t>
            </w:r>
          </w:p>
        </w:tc>
        <w:tc>
          <w:tcPr>
            <w:tcW w:w="689"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r w:rsidR="003E146F">
              <w:rPr>
                <w:rFonts w:ascii="Noto Sans Symbols" w:eastAsia="Noto Sans Symbols" w:hAnsi="Noto Sans Symbols" w:cs="Noto Sans Symbols"/>
                <w:sz w:val="20"/>
                <w:szCs w:val="20"/>
              </w:rPr>
              <w:t>x</w:t>
            </w:r>
          </w:p>
        </w:tc>
        <w:tc>
          <w:tcPr>
            <w:tcW w:w="691"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widowControl w:val="0"/>
              <w:spacing w:after="120" w:line="276" w:lineRule="auto"/>
              <w:jc w:val="center"/>
              <w:cnfStyle w:val="000000000000"/>
              <w:rPr>
                <w:sz w:val="20"/>
                <w:szCs w:val="20"/>
              </w:rPr>
            </w:pPr>
            <w:r>
              <w:rPr>
                <w:rFonts w:ascii="Noto Sans Symbols" w:eastAsia="Noto Sans Symbols" w:hAnsi="Noto Sans Symbols" w:cs="Noto Sans Symbols"/>
                <w:sz w:val="20"/>
                <w:szCs w:val="20"/>
              </w:rPr>
              <w:t>□</w:t>
            </w:r>
          </w:p>
        </w:tc>
        <w:tc>
          <w:tcPr>
            <w:tcW w:w="2520" w:type="dxa"/>
            <w:vMerge w:val="restart"/>
            <w:tcBorders>
              <w:top w:val="single" w:sz="4" w:space="0" w:color="000000"/>
              <w:left w:val="single" w:sz="4" w:space="0" w:color="000000"/>
              <w:bottom w:val="single" w:sz="4" w:space="0" w:color="000000"/>
              <w:right w:val="single" w:sz="4" w:space="0" w:color="000000"/>
            </w:tcBorders>
          </w:tcPr>
          <w:p w:rsidR="00E3130A" w:rsidRDefault="00082197">
            <w:pPr>
              <w:widowControl w:val="0"/>
              <w:numPr>
                <w:ilvl w:val="0"/>
                <w:numId w:val="4"/>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Written process for review of SEA allegations</w:t>
            </w:r>
            <w:r w:rsidR="002E0344">
              <w:rPr>
                <w:rFonts w:ascii="Calibri" w:eastAsia="Calibri" w:hAnsi="Calibri" w:cs="Calibri"/>
                <w:color w:val="000000"/>
                <w:sz w:val="20"/>
                <w:szCs w:val="20"/>
              </w:rPr>
              <w:t>: Being developed</w:t>
            </w:r>
            <w:r>
              <w:rPr>
                <w:rFonts w:ascii="Calibri" w:eastAsia="Calibri" w:hAnsi="Calibri" w:cs="Calibri"/>
                <w:color w:val="000000"/>
                <w:sz w:val="20"/>
                <w:szCs w:val="20"/>
              </w:rPr>
              <w:t xml:space="preserve">  </w:t>
            </w:r>
          </w:p>
          <w:p w:rsidR="00E3130A" w:rsidRDefault="00082197">
            <w:pPr>
              <w:widowControl w:val="0"/>
              <w:numPr>
                <w:ilvl w:val="0"/>
                <w:numId w:val="4"/>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Dedicated resources for investigation(s) and/or commitment of partner for support </w:t>
            </w:r>
            <w:r w:rsidR="002E0344">
              <w:rPr>
                <w:rFonts w:ascii="Calibri" w:eastAsia="Calibri" w:hAnsi="Calibri" w:cs="Calibri"/>
                <w:color w:val="000000"/>
                <w:sz w:val="20"/>
                <w:szCs w:val="20"/>
              </w:rPr>
              <w:t>: Not yet</w:t>
            </w:r>
          </w:p>
          <w:p w:rsidR="00E3130A" w:rsidRDefault="00082197">
            <w:pPr>
              <w:widowControl w:val="0"/>
              <w:numPr>
                <w:ilvl w:val="0"/>
                <w:numId w:val="4"/>
              </w:numPr>
              <w:pBdr>
                <w:top w:val="nil"/>
                <w:left w:val="nil"/>
                <w:bottom w:val="nil"/>
                <w:right w:val="nil"/>
                <w:between w:val="nil"/>
              </w:pBdr>
              <w:spacing w:line="276" w:lineRule="auto"/>
              <w:cnfStyle w:val="000000000000"/>
              <w:rPr>
                <w:color w:val="000000"/>
                <w:sz w:val="20"/>
                <w:szCs w:val="20"/>
              </w:rPr>
            </w:pPr>
            <w:r>
              <w:rPr>
                <w:rFonts w:ascii="Calibri" w:eastAsia="Calibri" w:hAnsi="Calibri" w:cs="Calibri"/>
                <w:color w:val="000000"/>
                <w:sz w:val="20"/>
                <w:szCs w:val="20"/>
              </w:rPr>
              <w:t xml:space="preserve">PSEA investigation policy/procedures  </w:t>
            </w:r>
            <w:r w:rsidR="002E0344">
              <w:rPr>
                <w:rFonts w:ascii="Calibri" w:eastAsia="Calibri" w:hAnsi="Calibri" w:cs="Calibri"/>
                <w:color w:val="000000"/>
                <w:sz w:val="20"/>
                <w:szCs w:val="20"/>
              </w:rPr>
              <w:t>: Yes</w:t>
            </w:r>
          </w:p>
          <w:p w:rsidR="00E3130A" w:rsidRDefault="00082197">
            <w:pPr>
              <w:widowControl w:val="0"/>
              <w:numPr>
                <w:ilvl w:val="0"/>
                <w:numId w:val="4"/>
              </w:numPr>
              <w:pBdr>
                <w:top w:val="nil"/>
                <w:left w:val="nil"/>
                <w:bottom w:val="nil"/>
                <w:right w:val="nil"/>
                <w:between w:val="nil"/>
              </w:pBdr>
              <w:spacing w:after="120" w:line="276" w:lineRule="auto"/>
              <w:cnfStyle w:val="000000000000"/>
              <w:rPr>
                <w:color w:val="000000"/>
                <w:sz w:val="20"/>
                <w:szCs w:val="20"/>
              </w:rPr>
            </w:pPr>
            <w:r>
              <w:rPr>
                <w:rFonts w:ascii="Calibri" w:eastAsia="Calibri" w:hAnsi="Calibri" w:cs="Calibri"/>
                <w:color w:val="000000"/>
                <w:sz w:val="20"/>
                <w:szCs w:val="20"/>
              </w:rPr>
              <w:t>Other (please specify):</w:t>
            </w:r>
          </w:p>
          <w:p w:rsidR="00E3130A" w:rsidRDefault="00082197">
            <w:pPr>
              <w:pBdr>
                <w:top w:val="nil"/>
                <w:left w:val="nil"/>
                <w:bottom w:val="nil"/>
                <w:right w:val="nil"/>
                <w:between w:val="nil"/>
              </w:pBdr>
              <w:spacing w:after="160"/>
              <w:ind w:left="0" w:firstLine="0"/>
              <w:cnfStyle w:val="000000000000"/>
              <w:rPr>
                <w:rFonts w:ascii="Calibri" w:eastAsia="Calibri" w:hAnsi="Calibri" w:cs="Calibri"/>
                <w:color w:val="000000"/>
                <w:sz w:val="20"/>
                <w:szCs w:val="20"/>
              </w:rPr>
            </w:pPr>
            <w:r>
              <w:rPr>
                <w:rFonts w:ascii="Calibri" w:eastAsia="Calibri" w:hAnsi="Calibri" w:cs="Calibri"/>
                <w:color w:val="000000"/>
                <w:sz w:val="20"/>
                <w:szCs w:val="20"/>
              </w:rPr>
              <w:t>________________</w:t>
            </w:r>
          </w:p>
          <w:p w:rsidR="00E3130A" w:rsidRDefault="00E3130A">
            <w:pPr>
              <w:widowControl w:val="0"/>
              <w:spacing w:after="120" w:line="276" w:lineRule="auto"/>
              <w:cnfStyle w:val="000000000000"/>
              <w:rPr>
                <w:sz w:val="20"/>
                <w:szCs w:val="20"/>
              </w:rPr>
            </w:pPr>
          </w:p>
        </w:tc>
      </w:tr>
      <w:tr w:rsidR="00E3130A" w:rsidTr="00E3130A">
        <w:trPr>
          <w:trHeight w:val="3525"/>
        </w:trPr>
        <w:tc>
          <w:tcPr>
            <w:cnfStyle w:val="001000000000"/>
            <w:tcW w:w="5756" w:type="dxa"/>
            <w:vMerge/>
            <w:tcBorders>
              <w:top w:val="single" w:sz="4" w:space="0" w:color="000000"/>
              <w:left w:val="single" w:sz="4" w:space="0" w:color="000000"/>
              <w:bottom w:val="single" w:sz="4" w:space="0" w:color="000000"/>
              <w:right w:val="single" w:sz="4" w:space="0" w:color="000000"/>
            </w:tcBorders>
            <w:shd w:val="clear" w:color="auto" w:fill="auto"/>
          </w:tcPr>
          <w:p w:rsidR="00E3130A" w:rsidRDefault="00E3130A">
            <w:pPr>
              <w:widowControl w:val="0"/>
              <w:pBdr>
                <w:top w:val="nil"/>
                <w:left w:val="nil"/>
                <w:bottom w:val="nil"/>
                <w:right w:val="nil"/>
                <w:between w:val="nil"/>
              </w:pBdr>
              <w:spacing w:line="276" w:lineRule="auto"/>
              <w:ind w:left="0" w:firstLine="0"/>
              <w:rPr>
                <w:sz w:val="20"/>
                <w:szCs w:val="20"/>
              </w:rPr>
            </w:pPr>
          </w:p>
        </w:tc>
        <w:tc>
          <w:tcPr>
            <w:tcW w:w="2069" w:type="dxa"/>
            <w:gridSpan w:val="3"/>
            <w:tcBorders>
              <w:top w:val="single" w:sz="4" w:space="0" w:color="000000"/>
              <w:left w:val="single" w:sz="4" w:space="0" w:color="000000"/>
              <w:bottom w:val="single" w:sz="4" w:space="0" w:color="000000"/>
              <w:right w:val="single" w:sz="4" w:space="0" w:color="000000"/>
            </w:tcBorders>
            <w:shd w:val="clear" w:color="auto" w:fill="auto"/>
          </w:tcPr>
          <w:p w:rsidR="00E3130A" w:rsidRDefault="00082197">
            <w:pPr>
              <w:widowControl w:val="0"/>
              <w:spacing w:after="120" w:line="276" w:lineRule="auto"/>
              <w:cnfStyle w:val="000000000000"/>
              <w:rPr>
                <w:sz w:val="20"/>
                <w:szCs w:val="20"/>
              </w:rPr>
            </w:pPr>
            <w:r>
              <w:rPr>
                <w:sz w:val="20"/>
                <w:szCs w:val="20"/>
              </w:rPr>
              <w:t xml:space="preserve">Comments:  We have </w:t>
            </w:r>
            <w:r w:rsidR="003E146F">
              <w:rPr>
                <w:sz w:val="20"/>
                <w:szCs w:val="20"/>
              </w:rPr>
              <w:t>Constituted an Internal Complaints Commitee to investigate SEA allegations. Reporting form still being developed</w:t>
            </w:r>
          </w:p>
          <w:p w:rsidR="00E3130A" w:rsidRDefault="00E3130A">
            <w:pPr>
              <w:widowControl w:val="0"/>
              <w:spacing w:after="120" w:line="276" w:lineRule="auto"/>
              <w:cnfStyle w:val="000000000000"/>
              <w:rPr>
                <w:sz w:val="20"/>
                <w:szCs w:val="20"/>
              </w:rPr>
            </w:pPr>
          </w:p>
        </w:tc>
        <w:tc>
          <w:tcPr>
            <w:tcW w:w="2520" w:type="dxa"/>
            <w:vMerge/>
            <w:tcBorders>
              <w:top w:val="single" w:sz="4" w:space="0" w:color="000000"/>
              <w:left w:val="single" w:sz="4" w:space="0" w:color="000000"/>
              <w:bottom w:val="single" w:sz="4" w:space="0" w:color="000000"/>
              <w:right w:val="single" w:sz="4" w:space="0" w:color="000000"/>
            </w:tcBorders>
          </w:tcPr>
          <w:p w:rsidR="00E3130A" w:rsidRDefault="00E3130A">
            <w:pPr>
              <w:widowControl w:val="0"/>
              <w:pBdr>
                <w:top w:val="nil"/>
                <w:left w:val="nil"/>
                <w:bottom w:val="nil"/>
                <w:right w:val="nil"/>
                <w:between w:val="nil"/>
              </w:pBdr>
              <w:spacing w:line="276" w:lineRule="auto"/>
              <w:ind w:left="0" w:firstLine="0"/>
              <w:cnfStyle w:val="000000000000"/>
              <w:rPr>
                <w:sz w:val="20"/>
                <w:szCs w:val="20"/>
              </w:rPr>
            </w:pPr>
          </w:p>
        </w:tc>
      </w:tr>
    </w:tbl>
    <w:p w:rsidR="00E3130A" w:rsidRDefault="00E3130A">
      <w:pPr>
        <w:spacing w:after="0" w:line="240" w:lineRule="auto"/>
        <w:rPr>
          <w:sz w:val="20"/>
          <w:szCs w:val="20"/>
        </w:rPr>
      </w:pPr>
    </w:p>
    <w:tbl>
      <w:tblPr>
        <w:tblStyle w:val="a5"/>
        <w:tblW w:w="981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tblPr>
      <w:tblGrid>
        <w:gridCol w:w="5748"/>
        <w:gridCol w:w="726"/>
        <w:gridCol w:w="626"/>
        <w:gridCol w:w="693"/>
        <w:gridCol w:w="2023"/>
      </w:tblGrid>
      <w:tr w:rsidR="00E3130A">
        <w:tc>
          <w:tcPr>
            <w:tcW w:w="5748" w:type="dxa"/>
            <w:tcBorders>
              <w:bottom w:val="single" w:sz="24" w:space="0" w:color="000000"/>
            </w:tcBorders>
            <w:shd w:val="clear" w:color="auto" w:fill="E7E6E6"/>
          </w:tcPr>
          <w:p w:rsidR="00E3130A" w:rsidRDefault="00082197">
            <w:pPr>
              <w:spacing w:before="120"/>
              <w:rPr>
                <w:rFonts w:ascii="Calibri" w:eastAsia="Calibri" w:hAnsi="Calibri" w:cs="Calibri"/>
              </w:rPr>
            </w:pPr>
            <w:r>
              <w:rPr>
                <w:rFonts w:ascii="Calibri" w:eastAsia="Calibri" w:hAnsi="Calibri" w:cs="Calibri"/>
              </w:rPr>
              <w:t>TOTAL PER RATING (i.e. count all 1s, 2s and 3s)</w:t>
            </w:r>
          </w:p>
        </w:tc>
        <w:tc>
          <w:tcPr>
            <w:tcW w:w="726" w:type="dxa"/>
            <w:tcBorders>
              <w:top w:val="single" w:sz="4" w:space="0" w:color="000000"/>
              <w:bottom w:val="single" w:sz="4" w:space="0" w:color="000000"/>
              <w:right w:val="single" w:sz="4" w:space="0" w:color="000000"/>
            </w:tcBorders>
            <w:shd w:val="clear" w:color="auto" w:fill="F8999C"/>
          </w:tcPr>
          <w:p w:rsidR="00E3130A" w:rsidRDefault="00E3130A">
            <w:pPr>
              <w:spacing w:before="120"/>
              <w:rPr>
                <w:rFonts w:ascii="Calibri" w:eastAsia="Calibri" w:hAnsi="Calibri" w:cs="Calibri"/>
              </w:rPr>
            </w:pPr>
          </w:p>
        </w:tc>
        <w:tc>
          <w:tcPr>
            <w:tcW w:w="626" w:type="dxa"/>
            <w:tcBorders>
              <w:top w:val="single" w:sz="4" w:space="0" w:color="000000"/>
              <w:left w:val="single" w:sz="4" w:space="0" w:color="000000"/>
              <w:bottom w:val="single" w:sz="4" w:space="0" w:color="000000"/>
              <w:right w:val="single" w:sz="4" w:space="0" w:color="000000"/>
            </w:tcBorders>
            <w:shd w:val="clear" w:color="auto" w:fill="FFE599"/>
          </w:tcPr>
          <w:p w:rsidR="00E3130A" w:rsidRDefault="001520A0">
            <w:pPr>
              <w:spacing w:before="120"/>
              <w:rPr>
                <w:rFonts w:ascii="Calibri" w:eastAsia="Calibri" w:hAnsi="Calibri" w:cs="Calibri"/>
              </w:rPr>
            </w:pPr>
            <w:r>
              <w:rPr>
                <w:rFonts w:ascii="Calibri" w:eastAsia="Calibri" w:hAnsi="Calibri" w:cs="Calibri"/>
              </w:rPr>
              <w:t>8</w:t>
            </w:r>
          </w:p>
        </w:tc>
        <w:tc>
          <w:tcPr>
            <w:tcW w:w="693" w:type="dxa"/>
            <w:tcBorders>
              <w:top w:val="single" w:sz="4" w:space="0" w:color="000000"/>
              <w:left w:val="single" w:sz="4" w:space="0" w:color="000000"/>
              <w:bottom w:val="single" w:sz="4" w:space="0" w:color="000000"/>
              <w:right w:val="single" w:sz="4" w:space="0" w:color="000000"/>
            </w:tcBorders>
            <w:shd w:val="clear" w:color="auto" w:fill="C5E0B3"/>
          </w:tcPr>
          <w:p w:rsidR="00E3130A" w:rsidRDefault="00082197">
            <w:pPr>
              <w:spacing w:before="120"/>
              <w:rPr>
                <w:rFonts w:ascii="Calibri" w:eastAsia="Calibri" w:hAnsi="Calibri" w:cs="Calibri"/>
              </w:rPr>
            </w:pPr>
            <w:r>
              <w:rPr>
                <w:rFonts w:ascii="Calibri" w:eastAsia="Calibri" w:hAnsi="Calibri" w:cs="Calibri"/>
              </w:rPr>
              <w:t>6</w:t>
            </w:r>
          </w:p>
        </w:tc>
        <w:tc>
          <w:tcPr>
            <w:tcW w:w="2023" w:type="dxa"/>
            <w:tcBorders>
              <w:top w:val="nil"/>
              <w:left w:val="single" w:sz="4" w:space="0" w:color="000000"/>
              <w:bottom w:val="nil"/>
              <w:right w:val="nil"/>
            </w:tcBorders>
            <w:shd w:val="clear" w:color="auto" w:fill="auto"/>
          </w:tcPr>
          <w:p w:rsidR="00E3130A" w:rsidRDefault="00E3130A">
            <w:pPr>
              <w:spacing w:before="120"/>
              <w:rPr>
                <w:rFonts w:ascii="Calibri" w:eastAsia="Calibri" w:hAnsi="Calibri" w:cs="Calibri"/>
              </w:rPr>
            </w:pPr>
          </w:p>
        </w:tc>
      </w:tr>
      <w:tr w:rsidR="00E3130A">
        <w:tc>
          <w:tcPr>
            <w:tcW w:w="5748" w:type="dxa"/>
            <w:tcBorders>
              <w:top w:val="single" w:sz="24" w:space="0" w:color="000000"/>
              <w:left w:val="single" w:sz="24" w:space="0" w:color="000000"/>
              <w:bottom w:val="single" w:sz="24" w:space="0" w:color="000000"/>
              <w:right w:val="single" w:sz="24" w:space="0" w:color="000000"/>
            </w:tcBorders>
            <w:shd w:val="clear" w:color="auto" w:fill="E7E6E6"/>
          </w:tcPr>
          <w:p w:rsidR="00E3130A" w:rsidRDefault="00082197">
            <w:pPr>
              <w:spacing w:before="120"/>
              <w:rPr>
                <w:rFonts w:ascii="Calibri" w:eastAsia="Calibri" w:hAnsi="Calibri" w:cs="Calibri"/>
              </w:rPr>
            </w:pPr>
            <w:r>
              <w:rPr>
                <w:rFonts w:ascii="Calibri" w:eastAsia="Calibri" w:hAnsi="Calibri" w:cs="Calibri"/>
                <w:b/>
              </w:rPr>
              <w:t xml:space="preserve">GRAND TOTAL </w:t>
            </w:r>
            <w:r>
              <w:rPr>
                <w:rFonts w:ascii="Calibri" w:eastAsia="Calibri" w:hAnsi="Calibri" w:cs="Calibri"/>
              </w:rPr>
              <w:t>(i.e. 1s + 2s + 3s)</w:t>
            </w:r>
          </w:p>
        </w:tc>
        <w:tc>
          <w:tcPr>
            <w:tcW w:w="2045" w:type="dxa"/>
            <w:gridSpan w:val="3"/>
            <w:tcBorders>
              <w:top w:val="single" w:sz="24" w:space="0" w:color="000000"/>
              <w:left w:val="single" w:sz="24" w:space="0" w:color="000000"/>
              <w:bottom w:val="single" w:sz="24" w:space="0" w:color="000000"/>
              <w:right w:val="single" w:sz="24" w:space="0" w:color="000000"/>
            </w:tcBorders>
            <w:shd w:val="clear" w:color="auto" w:fill="E7E6E6"/>
          </w:tcPr>
          <w:p w:rsidR="00E3130A" w:rsidRDefault="00082197" w:rsidP="001520A0">
            <w:pPr>
              <w:spacing w:before="120"/>
              <w:rPr>
                <w:rFonts w:ascii="Calibri" w:eastAsia="Calibri" w:hAnsi="Calibri" w:cs="Calibri"/>
              </w:rPr>
            </w:pPr>
            <w:r>
              <w:rPr>
                <w:rFonts w:ascii="Calibri" w:eastAsia="Calibri" w:hAnsi="Calibri" w:cs="Calibri"/>
              </w:rPr>
              <w:t>1</w:t>
            </w:r>
            <w:r w:rsidR="001520A0">
              <w:rPr>
                <w:rFonts w:ascii="Calibri" w:eastAsia="Calibri" w:hAnsi="Calibri" w:cs="Calibri"/>
              </w:rPr>
              <w:t>4</w:t>
            </w:r>
          </w:p>
        </w:tc>
        <w:tc>
          <w:tcPr>
            <w:tcW w:w="2023" w:type="dxa"/>
            <w:tcBorders>
              <w:top w:val="nil"/>
              <w:left w:val="single" w:sz="24" w:space="0" w:color="000000"/>
              <w:bottom w:val="nil"/>
              <w:right w:val="nil"/>
            </w:tcBorders>
            <w:shd w:val="clear" w:color="auto" w:fill="auto"/>
          </w:tcPr>
          <w:p w:rsidR="00E3130A" w:rsidRDefault="00E3130A">
            <w:pPr>
              <w:spacing w:before="120"/>
              <w:rPr>
                <w:rFonts w:ascii="Calibri" w:eastAsia="Calibri" w:hAnsi="Calibri" w:cs="Calibri"/>
              </w:rPr>
            </w:pPr>
          </w:p>
        </w:tc>
      </w:tr>
      <w:tr w:rsidR="00E3130A">
        <w:tc>
          <w:tcPr>
            <w:tcW w:w="5748" w:type="dxa"/>
            <w:tcBorders>
              <w:top w:val="single" w:sz="24" w:space="0" w:color="000000"/>
              <w:left w:val="single" w:sz="24" w:space="0" w:color="000000"/>
              <w:bottom w:val="single" w:sz="24" w:space="0" w:color="000000"/>
              <w:right w:val="single" w:sz="24" w:space="0" w:color="000000"/>
            </w:tcBorders>
            <w:shd w:val="clear" w:color="auto" w:fill="E7E6E6"/>
          </w:tcPr>
          <w:p w:rsidR="00E3130A" w:rsidRDefault="00082197">
            <w:pPr>
              <w:spacing w:after="120"/>
              <w:rPr>
                <w:rFonts w:ascii="Calibri" w:eastAsia="Calibri" w:hAnsi="Calibri" w:cs="Calibri"/>
                <w:b/>
              </w:rPr>
            </w:pPr>
            <w:r>
              <w:rPr>
                <w:rFonts w:ascii="Calibri" w:eastAsia="Calibri" w:hAnsi="Calibri" w:cs="Calibri"/>
                <w:b/>
              </w:rPr>
              <w:t>PSEA organizational capacities</w:t>
            </w:r>
          </w:p>
        </w:tc>
        <w:tc>
          <w:tcPr>
            <w:tcW w:w="2045" w:type="dxa"/>
            <w:gridSpan w:val="3"/>
            <w:tcBorders>
              <w:top w:val="single" w:sz="24" w:space="0" w:color="000000"/>
              <w:left w:val="single" w:sz="24" w:space="0" w:color="000000"/>
              <w:bottom w:val="single" w:sz="24" w:space="0" w:color="000000"/>
              <w:right w:val="single" w:sz="24" w:space="0" w:color="000000"/>
            </w:tcBorders>
            <w:shd w:val="clear" w:color="auto" w:fill="E7E6E6"/>
          </w:tcPr>
          <w:p w:rsidR="00E3130A" w:rsidRDefault="00082197">
            <w:pPr>
              <w:spacing w:after="120"/>
              <w:rPr>
                <w:rFonts w:ascii="Calibri" w:eastAsia="Calibri" w:hAnsi="Calibri" w:cs="Calibri"/>
              </w:rPr>
            </w:pPr>
            <w:r>
              <w:rPr>
                <w:rFonts w:ascii="Calibri" w:eastAsia="Calibri" w:hAnsi="Calibri" w:cs="Calibri"/>
              </w:rPr>
              <w:t>Need improvement</w:t>
            </w:r>
          </w:p>
        </w:tc>
        <w:tc>
          <w:tcPr>
            <w:tcW w:w="2023" w:type="dxa"/>
            <w:tcBorders>
              <w:top w:val="nil"/>
              <w:left w:val="single" w:sz="24" w:space="0" w:color="000000"/>
              <w:bottom w:val="nil"/>
              <w:right w:val="nil"/>
            </w:tcBorders>
            <w:shd w:val="clear" w:color="auto" w:fill="auto"/>
          </w:tcPr>
          <w:p w:rsidR="00E3130A" w:rsidRDefault="00E3130A">
            <w:pPr>
              <w:spacing w:before="120"/>
              <w:rPr>
                <w:rFonts w:ascii="Calibri" w:eastAsia="Calibri" w:hAnsi="Calibri" w:cs="Calibri"/>
              </w:rPr>
            </w:pPr>
          </w:p>
        </w:tc>
      </w:tr>
      <w:tr w:rsidR="00E3130A">
        <w:tc>
          <w:tcPr>
            <w:tcW w:w="5748" w:type="dxa"/>
            <w:tcBorders>
              <w:top w:val="single" w:sz="24" w:space="0" w:color="000000"/>
              <w:left w:val="single" w:sz="24" w:space="0" w:color="000000"/>
              <w:bottom w:val="single" w:sz="24" w:space="0" w:color="000000"/>
              <w:right w:val="single" w:sz="24" w:space="0" w:color="000000"/>
            </w:tcBorders>
            <w:shd w:val="clear" w:color="auto" w:fill="E7E6E6"/>
            <w:vAlign w:val="center"/>
          </w:tcPr>
          <w:p w:rsidR="00E3130A" w:rsidRDefault="00082197">
            <w:pPr>
              <w:spacing w:after="120"/>
              <w:rPr>
                <w:rFonts w:ascii="Calibri" w:eastAsia="Calibri" w:hAnsi="Calibri" w:cs="Calibri"/>
                <w:b/>
              </w:rPr>
            </w:pPr>
            <w:r>
              <w:rPr>
                <w:rFonts w:ascii="Calibri" w:eastAsia="Calibri" w:hAnsi="Calibri" w:cs="Calibri"/>
                <w:b/>
              </w:rPr>
              <w:t>SEA Risk Rating</w:t>
            </w:r>
          </w:p>
        </w:tc>
        <w:tc>
          <w:tcPr>
            <w:tcW w:w="2045" w:type="dxa"/>
            <w:gridSpan w:val="3"/>
            <w:tcBorders>
              <w:top w:val="single" w:sz="24" w:space="0" w:color="000000"/>
              <w:left w:val="single" w:sz="24" w:space="0" w:color="000000"/>
              <w:bottom w:val="single" w:sz="24" w:space="0" w:color="000000"/>
              <w:right w:val="single" w:sz="24" w:space="0" w:color="000000"/>
            </w:tcBorders>
            <w:shd w:val="clear" w:color="auto" w:fill="E7E6E6"/>
          </w:tcPr>
          <w:p w:rsidR="00E3130A" w:rsidRDefault="00082197">
            <w:pPr>
              <w:spacing w:before="120"/>
              <w:rPr>
                <w:rFonts w:ascii="Calibri" w:eastAsia="Calibri" w:hAnsi="Calibri" w:cs="Calibri"/>
              </w:rPr>
            </w:pPr>
            <w:r>
              <w:rPr>
                <w:rFonts w:ascii="Calibri" w:eastAsia="Calibri" w:hAnsi="Calibri" w:cs="Calibri"/>
              </w:rPr>
              <w:t>Moderate</w:t>
            </w:r>
          </w:p>
        </w:tc>
        <w:tc>
          <w:tcPr>
            <w:tcW w:w="2023" w:type="dxa"/>
            <w:tcBorders>
              <w:top w:val="nil"/>
              <w:left w:val="single" w:sz="24" w:space="0" w:color="000000"/>
              <w:bottom w:val="nil"/>
              <w:right w:val="nil"/>
            </w:tcBorders>
            <w:shd w:val="clear" w:color="auto" w:fill="auto"/>
          </w:tcPr>
          <w:p w:rsidR="00E3130A" w:rsidRDefault="00E3130A">
            <w:pPr>
              <w:spacing w:before="120"/>
              <w:rPr>
                <w:rFonts w:ascii="Calibri" w:eastAsia="Calibri" w:hAnsi="Calibri" w:cs="Calibri"/>
              </w:rPr>
            </w:pPr>
          </w:p>
        </w:tc>
      </w:tr>
    </w:tbl>
    <w:p w:rsidR="00E3130A" w:rsidRDefault="00E3130A">
      <w:pPr>
        <w:spacing w:after="0" w:line="240" w:lineRule="auto"/>
        <w:rPr>
          <w:sz w:val="20"/>
          <w:szCs w:val="20"/>
          <w:u w:val="single"/>
        </w:rPr>
      </w:pPr>
    </w:p>
    <w:p w:rsidR="00E3130A" w:rsidRDefault="00082197">
      <w:pPr>
        <w:pBdr>
          <w:top w:val="single" w:sz="4" w:space="1" w:color="000000"/>
          <w:left w:val="single" w:sz="4" w:space="1" w:color="000000"/>
          <w:bottom w:val="single" w:sz="4" w:space="1" w:color="000000"/>
          <w:right w:val="single" w:sz="4" w:space="15" w:color="000000"/>
        </w:pBdr>
        <w:spacing w:before="120" w:after="120" w:line="480" w:lineRule="auto"/>
      </w:pPr>
      <w:bookmarkStart w:id="0" w:name="_1fob9te" w:colFirst="0" w:colLast="0"/>
      <w:bookmarkEnd w:id="0"/>
      <w:r>
        <w:t>PSEA Assessment of [Name of the IP]:     South Asian Women in Media</w:t>
      </w:r>
    </w:p>
    <w:p w:rsidR="00E3130A" w:rsidRDefault="00082197">
      <w:pPr>
        <w:pBdr>
          <w:top w:val="single" w:sz="4" w:space="1" w:color="000000"/>
          <w:left w:val="single" w:sz="4" w:space="1" w:color="000000"/>
          <w:bottom w:val="single" w:sz="4" w:space="1" w:color="000000"/>
          <w:right w:val="single" w:sz="4" w:space="15" w:color="000000"/>
        </w:pBdr>
        <w:spacing w:before="120" w:after="120" w:line="480" w:lineRule="auto"/>
      </w:pPr>
      <w:r>
        <w:t>Assessment completed by:  Swati Bhattacharjee, President SAWM India</w:t>
      </w:r>
      <ve:AlternateContent>
        <mc:Choice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Requires="wps">
          <w:drawing>
            <wp:anchor distT="0" distB="0" distL="114300" distR="114300" simplePos="0" relativeHeight="251658240" behindDoc="0" locked="0" layoutInCell="1" hidden="0" allowOverlap="1">
              <wp:simplePos x="0" y="0"/>
              <wp:positionH relativeFrom="column">
                <wp:posOffset>1552755</wp:posOffset>
              </wp:positionH>
              <wp:positionV relativeFrom="paragraph">
                <wp:posOffset>169425</wp:posOffset>
              </wp:positionV>
              <wp:extent cx="4572000" cy="8627"/>
              <wp:effectExtent l="0" t="0" r="19050" b="29845"/>
              <wp:wrapNone/>
              <wp:docPr id="4" name="Straight Connector 4"/>
              <wp:cNvGraphicFramePr/>
              <a:graphic xmlns:a="http://schemas.openxmlformats.org/drawingml/2006/main">
                <a:graphicData uri="http://schemas.microsoft.com/office/word/2010/wordprocessingShape">
                  <wps:wsp>
                    <wps:cNvCnPr/>
                    <wps:spPr>
                      <a:xfrm flipV="1">
                        <a:off x="0" y="0"/>
                        <a:ext cx="4572000"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ve:Fallback>
          <w:r>
            <w:rPr>
              <w:noProof/>
              <w:lang w:bidi="bn-IN"/>
            </w:rPr>
            <w:drawing>
              <wp:anchor distT="0" distB="0" distL="114300" distR="114300" simplePos="0" relativeHeight="251658240" behindDoc="0" locked="0" layoutInCell="1" allowOverlap="1">
                <wp:simplePos x="0" y="0"/>
                <wp:positionH relativeFrom="column">
                  <wp:posOffset>1552755</wp:posOffset>
                </wp:positionH>
                <wp:positionV relativeFrom="paragraph">
                  <wp:posOffset>169425</wp:posOffset>
                </wp:positionV>
                <wp:extent cx="4591050" cy="38472"/>
                <wp:effectExtent l="0" t="0" r="0"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591050" cy="38472"/>
                        </a:xfrm>
                        <a:prstGeom prst="rect">
                          <a:avLst/>
                        </a:prstGeom>
                        <a:ln/>
                      </pic:spPr>
                    </pic:pic>
                  </a:graphicData>
                </a:graphic>
              </wp:anchor>
            </w:drawing>
          </w:r>
        </ve:Fallback>
      </ve:AlternateContent>
    </w:p>
    <w:p w:rsidR="00E3130A" w:rsidRDefault="00082197">
      <w:pPr>
        <w:pBdr>
          <w:top w:val="single" w:sz="4" w:space="1" w:color="000000"/>
          <w:left w:val="single" w:sz="4" w:space="1" w:color="000000"/>
          <w:bottom w:val="single" w:sz="4" w:space="1" w:color="000000"/>
          <w:right w:val="single" w:sz="4" w:space="15" w:color="000000"/>
        </w:pBdr>
        <w:spacing w:before="120" w:after="120" w:line="480" w:lineRule="auto"/>
      </w:pPr>
      <w:r>
        <w:lastRenderedPageBreak/>
        <w:t>Email address:    Bhattacharjee.swati@gmail.com</w:t>
      </w:r>
      <ve:AlternateContent>
        <mc:Choice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Requires="wps">
          <w:drawing>
            <wp:anchor distT="0" distB="0" distL="114300" distR="114300" simplePos="0" relativeHeight="251659264" behindDoc="0" locked="0" layoutInCell="1" hidden="0" allowOverlap="1">
              <wp:simplePos x="0" y="0"/>
              <wp:positionH relativeFrom="column">
                <wp:posOffset>923026</wp:posOffset>
              </wp:positionH>
              <wp:positionV relativeFrom="paragraph">
                <wp:posOffset>146182</wp:posOffset>
              </wp:positionV>
              <wp:extent cx="3907766" cy="0"/>
              <wp:effectExtent l="0" t="3175" r="0" b="3175"/>
              <wp:wrapNone/>
              <wp:docPr id="1" name="Straight Connector 1"/>
              <wp:cNvGraphicFramePr/>
              <a:graphic xmlns:a="http://schemas.openxmlformats.org/drawingml/2006/main">
                <a:graphicData uri="http://schemas.microsoft.com/office/word/2010/wordprocessingShape">
                  <wps:wsp>
                    <wps:cNvCnPr/>
                    <wps:spPr>
                      <a:xfrm>
                        <a:off x="0" y="0"/>
                        <a:ext cx="3907766" cy="0"/>
                      </a:xfrm>
                      <a:prstGeom prst="line">
                        <a:avLst/>
                      </a:prstGeom>
                      <a:noFill/>
                      <a:ln w="6350" cap="flat" cmpd="sng" algn="ctr">
                        <a:solidFill>
                          <a:srgbClr val="5B9BD5"/>
                        </a:solidFill>
                        <a:prstDash val="solid"/>
                        <a:miter lim="800000"/>
                      </a:ln>
                      <a:effectLst/>
                    </wps:spPr>
                    <wps:bodyPr/>
                  </wps:wsp>
                </a:graphicData>
              </a:graphic>
            </wp:anchor>
          </w:drawing>
        </mc:Choice>
        <ve:Fallback>
          <w:r>
            <w:rPr>
              <w:noProof/>
              <w:lang w:bidi="bn-IN"/>
            </w:rPr>
            <w:drawing>
              <wp:anchor distT="0" distB="0" distL="114300" distR="114300" simplePos="0" relativeHeight="251659264" behindDoc="0" locked="0" layoutInCell="1" allowOverlap="1">
                <wp:simplePos x="0" y="0"/>
                <wp:positionH relativeFrom="column">
                  <wp:posOffset>923026</wp:posOffset>
                </wp:positionH>
                <wp:positionV relativeFrom="paragraph">
                  <wp:posOffset>146182</wp:posOffset>
                </wp:positionV>
                <wp:extent cx="3907766" cy="63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3907766" cy="6350"/>
                        </a:xfrm>
                        <a:prstGeom prst="rect">
                          <a:avLst/>
                        </a:prstGeom>
                        <a:ln/>
                      </pic:spPr>
                    </pic:pic>
                  </a:graphicData>
                </a:graphic>
              </wp:anchor>
            </w:drawing>
          </w:r>
        </ve:Fallback>
      </ve:AlternateContent>
    </w:p>
    <w:p w:rsidR="00E3130A" w:rsidRDefault="00082197">
      <w:pPr>
        <w:pBdr>
          <w:top w:val="single" w:sz="4" w:space="1" w:color="000000"/>
          <w:left w:val="single" w:sz="4" w:space="1" w:color="000000"/>
          <w:bottom w:val="single" w:sz="4" w:space="1" w:color="000000"/>
          <w:right w:val="single" w:sz="4" w:space="15" w:color="000000"/>
        </w:pBdr>
        <w:spacing w:before="120" w:after="120" w:line="480" w:lineRule="auto"/>
      </w:pPr>
      <w:r w:rsidRPr="009B67AB">
        <w:t>Signature</w:t>
      </w:r>
      <w:r w:rsidR="009B67AB">
        <w:rPr>
          <w:noProof/>
          <w:lang w:bidi="bn-IN"/>
        </w:rPr>
        <w:drawing>
          <wp:inline distT="0" distB="0" distL="0" distR="0">
            <wp:extent cx="1373748" cy="485775"/>
            <wp:effectExtent l="0" t="0" r="0" b="0"/>
            <wp:docPr id="8" name="Picture 8" descr="C:\Users\IWPC\Downloads\IMG-2022062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WPC\Downloads\IMG-20220622-WA0004.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8792" cy="494631"/>
                    </a:xfrm>
                    <a:prstGeom prst="rect">
                      <a:avLst/>
                    </a:prstGeom>
                    <a:noFill/>
                    <a:ln>
                      <a:noFill/>
                    </a:ln>
                  </pic:spPr>
                </pic:pic>
              </a:graphicData>
            </a:graphic>
          </wp:inline>
        </w:drawing>
      </w:r>
      <w:r w:rsidRPr="009B67AB">
        <w:t xml:space="preserve">Date of Assessment   </w:t>
      </w:r>
      <w:r w:rsidR="008864B0">
        <w:t>29 August,</w:t>
      </w:r>
      <w:r w:rsidRPr="009B67AB">
        <w:t xml:space="preserve"> 2022</w:t>
      </w:r>
      <w:r w:rsidRPr="009B67AB">
        <w:tab/>
      </w:r>
      <w:r>
        <w:tab/>
      </w:r>
    </w:p>
    <w:p w:rsidR="00E3130A" w:rsidRDefault="00E3130A">
      <w:bookmarkStart w:id="1" w:name="_GoBack"/>
      <w:bookmarkEnd w:id="1"/>
    </w:p>
    <w:sectPr w:rsidR="00E3130A" w:rsidSect="00E03D06">
      <w:headerReference w:type="default" r:id="rId17"/>
      <w:footerReference w:type="default" r:id="rId18"/>
      <w:pgSz w:w="12240" w:h="15840"/>
      <w:pgMar w:top="2016" w:right="994" w:bottom="907" w:left="1008" w:header="1584" w:footer="5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E4B" w:rsidRDefault="00885E4B">
      <w:pPr>
        <w:spacing w:after="0" w:line="240" w:lineRule="auto"/>
      </w:pPr>
      <w:r>
        <w:separator/>
      </w:r>
    </w:p>
  </w:endnote>
  <w:endnote w:type="continuationSeparator" w:id="1">
    <w:p w:rsidR="00885E4B" w:rsidRDefault="00885E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0A" w:rsidRDefault="00082197">
    <w:pPr>
      <w:tabs>
        <w:tab w:val="center" w:pos="4550"/>
        <w:tab w:val="left" w:pos="5818"/>
      </w:tabs>
      <w:ind w:right="260"/>
      <w:jc w:val="right"/>
      <w:rPr>
        <w:rFonts w:ascii="Arial" w:eastAsia="Arial" w:hAnsi="Arial" w:cs="Arial"/>
        <w:color w:val="222A35"/>
        <w:sz w:val="20"/>
        <w:szCs w:val="20"/>
      </w:rPr>
    </w:pPr>
    <w:r>
      <w:rPr>
        <w:rFonts w:ascii="Arial" w:eastAsia="Arial" w:hAnsi="Arial" w:cs="Arial"/>
        <w:color w:val="8496B0"/>
        <w:sz w:val="20"/>
        <w:szCs w:val="20"/>
      </w:rPr>
      <w:t xml:space="preserve">Page </w:t>
    </w:r>
    <w:r w:rsidR="00407CDF">
      <w:rPr>
        <w:rFonts w:ascii="Arial" w:eastAsia="Arial" w:hAnsi="Arial" w:cs="Arial"/>
        <w:color w:val="323E4F"/>
        <w:sz w:val="20"/>
        <w:szCs w:val="20"/>
      </w:rPr>
      <w:fldChar w:fldCharType="begin"/>
    </w:r>
    <w:r>
      <w:rPr>
        <w:rFonts w:ascii="Arial" w:eastAsia="Arial" w:hAnsi="Arial" w:cs="Arial"/>
        <w:color w:val="323E4F"/>
        <w:sz w:val="20"/>
        <w:szCs w:val="20"/>
      </w:rPr>
      <w:instrText>PAGE</w:instrText>
    </w:r>
    <w:r w:rsidR="00407CDF">
      <w:rPr>
        <w:rFonts w:ascii="Arial" w:eastAsia="Arial" w:hAnsi="Arial" w:cs="Arial"/>
        <w:color w:val="323E4F"/>
        <w:sz w:val="20"/>
        <w:szCs w:val="20"/>
      </w:rPr>
      <w:fldChar w:fldCharType="separate"/>
    </w:r>
    <w:r w:rsidR="008864B0">
      <w:rPr>
        <w:rFonts w:ascii="Arial" w:eastAsia="Arial" w:hAnsi="Arial" w:cs="Arial"/>
        <w:noProof/>
        <w:color w:val="323E4F"/>
        <w:sz w:val="20"/>
        <w:szCs w:val="20"/>
      </w:rPr>
      <w:t>4</w:t>
    </w:r>
    <w:r w:rsidR="00407CDF">
      <w:rPr>
        <w:rFonts w:ascii="Arial" w:eastAsia="Arial" w:hAnsi="Arial" w:cs="Arial"/>
        <w:color w:val="323E4F"/>
        <w:sz w:val="20"/>
        <w:szCs w:val="20"/>
      </w:rPr>
      <w:fldChar w:fldCharType="end"/>
    </w:r>
    <w:r>
      <w:rPr>
        <w:rFonts w:ascii="Arial" w:eastAsia="Arial" w:hAnsi="Arial" w:cs="Arial"/>
        <w:color w:val="323E4F"/>
        <w:sz w:val="20"/>
        <w:szCs w:val="20"/>
      </w:rPr>
      <w:t xml:space="preserve"> | </w:t>
    </w:r>
    <w:r w:rsidR="00407CDF">
      <w:rPr>
        <w:rFonts w:ascii="Arial" w:eastAsia="Arial" w:hAnsi="Arial" w:cs="Arial"/>
        <w:color w:val="323E4F"/>
        <w:sz w:val="20"/>
        <w:szCs w:val="20"/>
      </w:rPr>
      <w:fldChar w:fldCharType="begin"/>
    </w:r>
    <w:r>
      <w:rPr>
        <w:rFonts w:ascii="Arial" w:eastAsia="Arial" w:hAnsi="Arial" w:cs="Arial"/>
        <w:color w:val="323E4F"/>
        <w:sz w:val="20"/>
        <w:szCs w:val="20"/>
      </w:rPr>
      <w:instrText>NUMPAGES</w:instrText>
    </w:r>
    <w:r w:rsidR="00407CDF">
      <w:rPr>
        <w:rFonts w:ascii="Arial" w:eastAsia="Arial" w:hAnsi="Arial" w:cs="Arial"/>
        <w:color w:val="323E4F"/>
        <w:sz w:val="20"/>
        <w:szCs w:val="20"/>
      </w:rPr>
      <w:fldChar w:fldCharType="separate"/>
    </w:r>
    <w:r w:rsidR="008864B0">
      <w:rPr>
        <w:rFonts w:ascii="Arial" w:eastAsia="Arial" w:hAnsi="Arial" w:cs="Arial"/>
        <w:noProof/>
        <w:color w:val="323E4F"/>
        <w:sz w:val="20"/>
        <w:szCs w:val="20"/>
      </w:rPr>
      <w:t>4</w:t>
    </w:r>
    <w:r w:rsidR="00407CDF">
      <w:rPr>
        <w:rFonts w:ascii="Arial" w:eastAsia="Arial" w:hAnsi="Arial" w:cs="Arial"/>
        <w:color w:val="323E4F"/>
        <w:sz w:val="20"/>
        <w:szCs w:val="20"/>
      </w:rPr>
      <w:fldChar w:fldCharType="end"/>
    </w:r>
  </w:p>
  <w:p w:rsidR="00E3130A" w:rsidRDefault="00E3130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E4B" w:rsidRDefault="00885E4B">
      <w:pPr>
        <w:spacing w:after="0" w:line="240" w:lineRule="auto"/>
      </w:pPr>
      <w:r>
        <w:separator/>
      </w:r>
    </w:p>
  </w:footnote>
  <w:footnote w:type="continuationSeparator" w:id="1">
    <w:p w:rsidR="00885E4B" w:rsidRDefault="00885E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0A" w:rsidRDefault="00082197">
    <w:pPr>
      <w:pStyle w:val="Heading3"/>
    </w:pPr>
    <ve:AlternateContent>
      <mc:Choice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Requires="wps">
        <w:drawing>
          <wp:anchor distT="0" distB="0" distL="0" distR="0" simplePos="0" relativeHeight="251658240" behindDoc="1" locked="0" layoutInCell="1" hidden="0" allowOverlap="1">
            <wp:simplePos x="0" y="0"/>
            <wp:positionH relativeFrom="margin">
              <wp:align>center</wp:align>
            </wp:positionH>
            <wp:positionV relativeFrom="margin">
              <wp:align>center</wp:align>
            </wp:positionV>
            <wp:extent cx="5237480" cy="3142615"/>
            <wp:effectExtent l="0" t="1143000" r="0" b="657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wps:spPr>
                  <wps:txbx>
                    <w:txbxContent>
                      <w:p w:rsidR="00560014" w:rsidRDefault="00082197" w:rsidP="008C6B17">
                        <w:pPr>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anchor>
        </w:drawing>
      </mc:Choice>
      <ve:Fallback>
        <w:r>
          <w:rPr>
            <w:noProof/>
            <w:lang w:bidi="bn-IN"/>
          </w:rPr>
          <w:drawing>
            <wp:anchor distT="0" distB="0" distL="0" distR="0" simplePos="0" relativeHeight="251658240" behindDoc="1" locked="0" layoutInCell="1" allowOverlap="1">
              <wp:simplePos x="0" y="0"/>
              <wp:positionH relativeFrom="margin">
                <wp:align>center</wp:align>
              </wp:positionH>
              <wp:positionV relativeFrom="margin">
                <wp:align>center</wp:align>
              </wp:positionV>
              <wp:extent cx="5237480" cy="4943475"/>
              <wp:effectExtent l="980771" t="1127773" r="980771" b="1127773"/>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rot="18900000">
                        <a:off x="0" y="0"/>
                        <a:ext cx="5237480" cy="4943475"/>
                      </a:xfrm>
                      <a:prstGeom prst="rect">
                        <a:avLst/>
                      </a:prstGeom>
                      <a:ln/>
                    </pic:spPr>
                  </pic:pic>
                </a:graphicData>
              </a:graphic>
            </wp:anchor>
          </w:drawing>
        </w:r>
      </ve:Fallback>
    </ve:AlternateContent>
    <w:r>
      <w:rPr>
        <w:noProof/>
        <w:lang w:bidi="bn-IN"/>
      </w:rPr>
      <w:drawing>
        <wp:anchor distT="0" distB="0" distL="114300" distR="114300" simplePos="0" relativeHeight="251659264" behindDoc="0" locked="0" layoutInCell="1" allowOverlap="1">
          <wp:simplePos x="0" y="0"/>
          <wp:positionH relativeFrom="column">
            <wp:posOffset>3019425</wp:posOffset>
          </wp:positionH>
          <wp:positionV relativeFrom="paragraph">
            <wp:posOffset>-457834</wp:posOffset>
          </wp:positionV>
          <wp:extent cx="2771775" cy="355600"/>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771775" cy="355600"/>
                  </a:xfrm>
                  <a:prstGeom prst="rect">
                    <a:avLst/>
                  </a:prstGeom>
                  <a:ln/>
                </pic:spPr>
              </pic:pic>
            </a:graphicData>
          </a:graphic>
        </wp:anchor>
      </w:drawing>
    </w:r>
    <ve:AlternateContent>
      <mc:Choice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Requires="wps">
        <w:drawing>
          <wp:anchor distT="4294967295" distB="4294967295" distL="114300" distR="114300" simplePos="0" relativeHeight="251660288" behindDoc="0" locked="0" layoutInCell="1" hidden="0" allowOverlap="1">
            <wp:simplePos x="0" y="0"/>
            <wp:positionH relativeFrom="column">
              <wp:posOffset>-9524</wp:posOffset>
            </wp:positionH>
            <wp:positionV relativeFrom="paragraph">
              <wp:posOffset>179712</wp:posOffset>
            </wp:positionV>
            <wp:extent cx="5819775" cy="0"/>
            <wp:effectExtent l="0" t="0" r="22225"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775" cy="0"/>
                    </a:xfrm>
                    <a:prstGeom prst="line">
                      <a:avLst/>
                    </a:prstGeom>
                    <a:noFill/>
                    <a:ln w="9525" cap="flat" cmpd="sng" algn="ctr">
                      <a:solidFill>
                        <a:sysClr val="window" lastClr="FFFFFF">
                          <a:lumMod val="65000"/>
                        </a:sysClr>
                      </a:solidFill>
                      <a:prstDash val="solid"/>
                      <a:miter lim="800000"/>
                    </a:ln>
                    <a:effectLst/>
                  </wps:spPr>
                  <wps:bodyPr/>
                </wps:wsp>
              </a:graphicData>
            </a:graphic>
          </wp:anchor>
        </w:drawing>
      </mc:Choice>
      <ve:Fallback>
        <w:r>
          <w:rPr>
            <w:noProof/>
            <w:lang w:bidi="bn-IN"/>
          </w:rPr>
          <w:drawing>
            <wp:anchor distT="4294967295" distB="4294967295" distL="114300" distR="114300" simplePos="0" relativeHeight="251660288" behindDoc="0" locked="0" layoutInCell="1" allowOverlap="1">
              <wp:simplePos x="0" y="0"/>
              <wp:positionH relativeFrom="column">
                <wp:posOffset>-9524</wp:posOffset>
              </wp:positionH>
              <wp:positionV relativeFrom="paragraph">
                <wp:posOffset>179712</wp:posOffset>
              </wp:positionV>
              <wp:extent cx="5842000" cy="254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5842000" cy="25400"/>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26D8"/>
    <w:multiLevelType w:val="multilevel"/>
    <w:tmpl w:val="EABCAE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8AF2D82"/>
    <w:multiLevelType w:val="multilevel"/>
    <w:tmpl w:val="2E467D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43596180"/>
    <w:multiLevelType w:val="multilevel"/>
    <w:tmpl w:val="60E48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536D4414"/>
    <w:multiLevelType w:val="multilevel"/>
    <w:tmpl w:val="E3F4A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61AB36EF"/>
    <w:multiLevelType w:val="multilevel"/>
    <w:tmpl w:val="4440AD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6BD50E02"/>
    <w:multiLevelType w:val="multilevel"/>
    <w:tmpl w:val="1054CD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6E172D85"/>
    <w:multiLevelType w:val="multilevel"/>
    <w:tmpl w:val="F36CF7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7D2A0778"/>
    <w:multiLevelType w:val="multilevel"/>
    <w:tmpl w:val="88FA5A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
  </w:num>
  <w:num w:numId="2">
    <w:abstractNumId w:val="4"/>
  </w:num>
  <w:num w:numId="3">
    <w:abstractNumId w:val="5"/>
  </w:num>
  <w:num w:numId="4">
    <w:abstractNumId w:val="0"/>
  </w:num>
  <w:num w:numId="5">
    <w:abstractNumId w:val="6"/>
  </w:num>
  <w:num w:numId="6">
    <w:abstractNumId w:val="7"/>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footnotePr>
    <w:footnote w:id="0"/>
    <w:footnote w:id="1"/>
  </w:footnotePr>
  <w:endnotePr>
    <w:endnote w:id="0"/>
    <w:endnote w:id="1"/>
  </w:endnotePr>
  <w:compat/>
  <w:rsids>
    <w:rsidRoot w:val="00E3130A"/>
    <w:rsid w:val="00082197"/>
    <w:rsid w:val="000D20D2"/>
    <w:rsid w:val="001520A0"/>
    <w:rsid w:val="0018278C"/>
    <w:rsid w:val="002E0344"/>
    <w:rsid w:val="003E146F"/>
    <w:rsid w:val="00407CDF"/>
    <w:rsid w:val="00885E4B"/>
    <w:rsid w:val="008864B0"/>
    <w:rsid w:val="00942FC3"/>
    <w:rsid w:val="009B67AB"/>
    <w:rsid w:val="00D51687"/>
    <w:rsid w:val="00E03D06"/>
    <w:rsid w:val="00E3130A"/>
    <w:rsid w:val="00FF221C"/>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3D06"/>
  </w:style>
  <w:style w:type="paragraph" w:styleId="Heading1">
    <w:name w:val="heading 1"/>
    <w:basedOn w:val="Normal"/>
    <w:next w:val="Normal"/>
    <w:rsid w:val="00E03D06"/>
    <w:pPr>
      <w:keepNext/>
      <w:spacing w:before="360" w:after="120" w:line="240" w:lineRule="auto"/>
      <w:jc w:val="both"/>
      <w:outlineLvl w:val="0"/>
    </w:pPr>
    <w:rPr>
      <w:rFonts w:ascii="Arial" w:eastAsia="Arial" w:hAnsi="Arial" w:cs="Arial"/>
      <w:b/>
      <w:sz w:val="20"/>
      <w:szCs w:val="20"/>
    </w:rPr>
  </w:style>
  <w:style w:type="paragraph" w:styleId="Heading2">
    <w:name w:val="heading 2"/>
    <w:basedOn w:val="Normal"/>
    <w:next w:val="Normal"/>
    <w:rsid w:val="00E03D06"/>
    <w:pPr>
      <w:keepNext/>
      <w:keepLines/>
      <w:spacing w:before="360" w:after="80"/>
      <w:outlineLvl w:val="1"/>
    </w:pPr>
    <w:rPr>
      <w:b/>
      <w:sz w:val="36"/>
      <w:szCs w:val="36"/>
    </w:rPr>
  </w:style>
  <w:style w:type="paragraph" w:styleId="Heading3">
    <w:name w:val="heading 3"/>
    <w:basedOn w:val="Normal"/>
    <w:next w:val="Normal"/>
    <w:rsid w:val="00E03D06"/>
    <w:pPr>
      <w:keepNext/>
      <w:keepLines/>
      <w:spacing w:before="40" w:after="0"/>
      <w:outlineLvl w:val="2"/>
    </w:pPr>
    <w:rPr>
      <w:color w:val="1F3863"/>
      <w:sz w:val="24"/>
      <w:szCs w:val="24"/>
    </w:rPr>
  </w:style>
  <w:style w:type="paragraph" w:styleId="Heading4">
    <w:name w:val="heading 4"/>
    <w:basedOn w:val="Normal"/>
    <w:next w:val="Normal"/>
    <w:rsid w:val="00E03D06"/>
    <w:pPr>
      <w:keepNext/>
      <w:keepLines/>
      <w:spacing w:before="240" w:after="40"/>
      <w:outlineLvl w:val="3"/>
    </w:pPr>
    <w:rPr>
      <w:b/>
      <w:sz w:val="24"/>
      <w:szCs w:val="24"/>
    </w:rPr>
  </w:style>
  <w:style w:type="paragraph" w:styleId="Heading5">
    <w:name w:val="heading 5"/>
    <w:basedOn w:val="Normal"/>
    <w:next w:val="Normal"/>
    <w:rsid w:val="00E03D06"/>
    <w:pPr>
      <w:keepNext/>
      <w:keepLines/>
      <w:spacing w:before="220" w:after="40"/>
      <w:outlineLvl w:val="4"/>
    </w:pPr>
    <w:rPr>
      <w:b/>
    </w:rPr>
  </w:style>
  <w:style w:type="paragraph" w:styleId="Heading6">
    <w:name w:val="heading 6"/>
    <w:basedOn w:val="Normal"/>
    <w:next w:val="Normal"/>
    <w:rsid w:val="00E03D0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03D06"/>
    <w:pPr>
      <w:keepNext/>
      <w:keepLines/>
      <w:spacing w:before="480" w:after="120"/>
    </w:pPr>
    <w:rPr>
      <w:b/>
      <w:sz w:val="72"/>
      <w:szCs w:val="72"/>
    </w:rPr>
  </w:style>
  <w:style w:type="paragraph" w:styleId="Subtitle">
    <w:name w:val="Subtitle"/>
    <w:basedOn w:val="Normal"/>
    <w:next w:val="Normal"/>
    <w:rsid w:val="00E03D06"/>
    <w:pPr>
      <w:keepNext/>
      <w:keepLines/>
      <w:spacing w:before="360" w:after="80"/>
    </w:pPr>
    <w:rPr>
      <w:rFonts w:ascii="Georgia" w:eastAsia="Georgia" w:hAnsi="Georgia" w:cs="Georgia"/>
      <w:i/>
      <w:color w:val="666666"/>
      <w:sz w:val="48"/>
      <w:szCs w:val="48"/>
    </w:rPr>
  </w:style>
  <w:style w:type="table" w:customStyle="1" w:styleId="a">
    <w:basedOn w:val="TableNormal"/>
    <w:rsid w:val="00E03D06"/>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0">
    <w:basedOn w:val="TableNormal"/>
    <w:rsid w:val="00E03D06"/>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1">
    <w:basedOn w:val="TableNormal"/>
    <w:rsid w:val="00E03D06"/>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2">
    <w:basedOn w:val="TableNormal"/>
    <w:rsid w:val="00E03D06"/>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3">
    <w:basedOn w:val="TableNormal"/>
    <w:rsid w:val="00E03D06"/>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4">
    <w:basedOn w:val="TableNormal"/>
    <w:rsid w:val="00E03D06"/>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5">
    <w:basedOn w:val="TableNormal"/>
    <w:rsid w:val="00E03D06"/>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style>
  <w:style w:type="paragraph" w:styleId="BalloonText">
    <w:name w:val="Balloon Text"/>
    <w:basedOn w:val="Normal"/>
    <w:link w:val="BalloonTextChar"/>
    <w:uiPriority w:val="99"/>
    <w:semiHidden/>
    <w:unhideWhenUsed/>
    <w:rsid w:val="009B6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7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360" w:after="120" w:line="240" w:lineRule="auto"/>
      <w:jc w:val="both"/>
      <w:outlineLvl w:val="0"/>
    </w:pPr>
    <w:rPr>
      <w:rFonts w:ascii="Arial" w:eastAsia="Arial" w:hAnsi="Arial" w:cs="Arial"/>
      <w:b/>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40" w:after="0"/>
      <w:outlineLvl w:val="2"/>
    </w:pPr>
    <w:rPr>
      <w:color w:val="1F3863"/>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0">
    <w:basedOn w:val="TableNormal"/>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1">
    <w:basedOn w:val="TableNormal"/>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2">
    <w:basedOn w:val="TableNormal"/>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3">
    <w:basedOn w:val="TableNormal"/>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4">
    <w:basedOn w:val="TableNormal"/>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AF6"/>
      </w:tcPr>
    </w:tblStylePr>
    <w:tblStylePr w:type="band1Horz">
      <w:tblPr/>
      <w:tcPr>
        <w:shd w:val="clear" w:color="auto" w:fill="DEEAF6"/>
      </w:tcPr>
    </w:tblStylePr>
  </w:style>
  <w:style w:type="table" w:customStyle="1" w:styleId="a5">
    <w:basedOn w:val="TableNormal"/>
    <w:pPr>
      <w:spacing w:after="0" w:line="240" w:lineRule="auto"/>
      <w:ind w:left="720" w:hanging="720"/>
    </w:pPr>
    <w:rPr>
      <w:rFonts w:ascii="Times" w:eastAsia="Times" w:hAnsi="Times" w:cs="Times"/>
      <w:color w:val="404040"/>
      <w:sz w:val="18"/>
      <w:szCs w:val="18"/>
    </w:rPr>
    <w:tblPr>
      <w:tblStyleRowBandSize w:val="1"/>
      <w:tblStyleColBandSize w:val="1"/>
      <w:tblInd w:w="0" w:type="dxa"/>
      <w:tblCellMar>
        <w:top w:w="29" w:type="dxa"/>
        <w:left w:w="108" w:type="dxa"/>
        <w:bottom w:w="29" w:type="dxa"/>
        <w:right w:w="108" w:type="dxa"/>
      </w:tblCellMar>
    </w:tblPr>
  </w:style>
  <w:style w:type="paragraph" w:styleId="BalloonText">
    <w:name w:val="Balloon Text"/>
    <w:basedOn w:val="Normal"/>
    <w:link w:val="BalloonTextChar"/>
    <w:uiPriority w:val="99"/>
    <w:semiHidden/>
    <w:unhideWhenUsed/>
    <w:rsid w:val="009B6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7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unicef.sharepoint.com/:w:/r/sites/DAPM/_layouts/15/Doc.aspx?sourcedoc=%7B765CA079-24EE-430C-938B-A9AE3C6A33EB%7D&amp;file=PSEA%20Toolkit%20Jan%206%202020.docx&amp;action=default&amp;mobileredirect=true" TargetMode="External"/><Relationship Id="rId13" Type="http://schemas.openxmlformats.org/officeDocument/2006/relationships/hyperlink" Target="https://unicef.sharepoint.com/:w:/r/sites/DAPM/_layouts/15/Doc.aspx?sourcedoc=%7B765CA079-24EE-430C-938B-A9AE3C6A33EB%7D&amp;file=PSEA%20Toolkit%20Jan%206%202020.docx&amp;action=default&amp;mobileredirect=true"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unicef.sharepoint.com/:w:/r/sites/DAPM/_layouts/15/Doc.aspx?sourcedoc=%7B765CA079-24EE-430C-938B-A9AE3C6A33EB%7D&amp;file=PSEA%20Toolkit%20Jan%206%202020.docx&amp;action=default&amp;mobileredirect=true" TargetMode="External"/><Relationship Id="rId12" Type="http://schemas.openxmlformats.org/officeDocument/2006/relationships/hyperlink" Target="https://unicef.sharepoint.com/:w:/r/sites/DAPM/_layouts/15/Doc.aspx?sourcedoc=%7B765CA079-24EE-430C-938B-A9AE3C6A33EB%7D&amp;file=PSEA%20Toolkit%20Jan%206%202020.docx&amp;action=default&amp;mobileredirect=tru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cef.sharepoint.com/:w:/r/sites/DAPM/_layouts/15/Doc.aspx?sourcedoc=%7B765CA079-24EE-430C-938B-A9AE3C6A33EB%7D&amp;file=PSEA%20Toolkit%20Jan%206%202020.docx&amp;action=default&amp;mobileredirect=true"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undocs.org/ST/SGB/2003/1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icef.sharepoint.com/:w:/r/sites/DAPM/_layouts/15/Doc.aspx?sourcedoc=%7B765CA079-24EE-430C-938B-A9AE3C6A33EB%7D&amp;file=PSEA%20Toolkit%20Jan%206%202020.docx&amp;action=default&amp;mobileredirect=true"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4</cp:revision>
  <dcterms:created xsi:type="dcterms:W3CDTF">2022-08-28T19:36:00Z</dcterms:created>
  <dcterms:modified xsi:type="dcterms:W3CDTF">2022-08-28T19:37:00Z</dcterms:modified>
</cp:coreProperties>
</file>